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6"/>
      </w:tblGrid>
      <w:tr w:rsidR="00A14913" w14:paraId="04B0A2E9" w14:textId="77777777" w:rsidTr="00D93537">
        <w:trPr>
          <w:jc w:val="right"/>
        </w:trPr>
        <w:tc>
          <w:tcPr>
            <w:tcW w:w="2376" w:type="dxa"/>
            <w:shd w:val="clear" w:color="auto" w:fill="auto"/>
          </w:tcPr>
          <w:p w14:paraId="60966514" w14:textId="72C6B291" w:rsidR="00A14913" w:rsidRPr="00176926" w:rsidRDefault="00525FDA" w:rsidP="002E66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Kinnitatud </w:t>
            </w:r>
            <w:r w:rsidR="002E665D">
              <w:rPr>
                <w:rFonts w:ascii="Arial" w:hAnsi="Arial" w:cs="Arial"/>
                <w:sz w:val="16"/>
                <w:szCs w:val="16"/>
              </w:rPr>
              <w:t>15</w:t>
            </w:r>
            <w:r w:rsidR="00981CF5">
              <w:rPr>
                <w:rFonts w:ascii="Arial" w:hAnsi="Arial" w:cs="Arial"/>
                <w:sz w:val="16"/>
                <w:szCs w:val="16"/>
              </w:rPr>
              <w:t>.</w:t>
            </w:r>
            <w:r w:rsidR="00BB20B4">
              <w:rPr>
                <w:rFonts w:ascii="Arial" w:hAnsi="Arial" w:cs="Arial"/>
                <w:sz w:val="16"/>
                <w:szCs w:val="16"/>
              </w:rPr>
              <w:t>0</w:t>
            </w:r>
            <w:r w:rsidR="002E665D">
              <w:rPr>
                <w:rFonts w:ascii="Arial" w:hAnsi="Arial" w:cs="Arial"/>
                <w:sz w:val="16"/>
                <w:szCs w:val="16"/>
              </w:rPr>
              <w:t>2</w:t>
            </w:r>
            <w:r w:rsidR="00981CF5">
              <w:rPr>
                <w:rFonts w:ascii="Arial" w:hAnsi="Arial" w:cs="Arial"/>
                <w:sz w:val="16"/>
                <w:szCs w:val="16"/>
              </w:rPr>
              <w:t>.</w:t>
            </w:r>
            <w:r w:rsidR="00B17969">
              <w:rPr>
                <w:rFonts w:ascii="Arial" w:hAnsi="Arial" w:cs="Arial"/>
                <w:sz w:val="16"/>
                <w:szCs w:val="16"/>
              </w:rPr>
              <w:t>201</w:t>
            </w:r>
            <w:r w:rsidR="00756B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4913" w14:paraId="0096D4E3" w14:textId="77777777" w:rsidTr="00D93537">
        <w:trPr>
          <w:jc w:val="right"/>
        </w:trPr>
        <w:tc>
          <w:tcPr>
            <w:tcW w:w="2376" w:type="dxa"/>
            <w:shd w:val="clear" w:color="auto" w:fill="auto"/>
          </w:tcPr>
          <w:p w14:paraId="076674AD" w14:textId="77777777" w:rsidR="00A14913" w:rsidRPr="00176926" w:rsidRDefault="00A14913" w:rsidP="00D93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6926">
              <w:rPr>
                <w:rFonts w:ascii="Arial" w:hAnsi="Arial" w:cs="Arial"/>
                <w:sz w:val="16"/>
                <w:szCs w:val="16"/>
              </w:rPr>
              <w:t>Agu Laius</w:t>
            </w:r>
          </w:p>
        </w:tc>
      </w:tr>
      <w:tr w:rsidR="00A14913" w14:paraId="66DC62E1" w14:textId="77777777" w:rsidTr="00AD73CA">
        <w:trPr>
          <w:trHeight w:val="147"/>
          <w:jc w:val="right"/>
        </w:trPr>
        <w:tc>
          <w:tcPr>
            <w:tcW w:w="2376" w:type="dxa"/>
            <w:shd w:val="clear" w:color="auto" w:fill="auto"/>
          </w:tcPr>
          <w:p w14:paraId="3571B93E" w14:textId="77777777" w:rsidR="00A14913" w:rsidRPr="00176926" w:rsidRDefault="00A14913" w:rsidP="00D93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6926">
              <w:rPr>
                <w:rFonts w:ascii="Arial" w:hAnsi="Arial" w:cs="Arial"/>
                <w:sz w:val="16"/>
                <w:szCs w:val="16"/>
              </w:rPr>
              <w:t>KÜSK</w:t>
            </w:r>
            <w:r w:rsidR="00756B3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76926">
              <w:rPr>
                <w:rFonts w:ascii="Arial" w:hAnsi="Arial" w:cs="Arial"/>
                <w:sz w:val="16"/>
                <w:szCs w:val="16"/>
              </w:rPr>
              <w:t xml:space="preserve"> juhataja</w:t>
            </w:r>
          </w:p>
        </w:tc>
      </w:tr>
      <w:tr w:rsidR="00A14913" w14:paraId="7AD9B438" w14:textId="77777777" w:rsidTr="00D93537">
        <w:trPr>
          <w:jc w:val="right"/>
        </w:trPr>
        <w:tc>
          <w:tcPr>
            <w:tcW w:w="2376" w:type="dxa"/>
            <w:shd w:val="clear" w:color="auto" w:fill="auto"/>
          </w:tcPr>
          <w:p w14:paraId="2FCA317F" w14:textId="77777777" w:rsidR="00AD73CA" w:rsidRPr="00176926" w:rsidRDefault="00A14913" w:rsidP="00756B3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76926">
              <w:rPr>
                <w:rFonts w:ascii="Arial" w:hAnsi="Arial" w:cs="Arial"/>
                <w:i/>
                <w:sz w:val="16"/>
                <w:szCs w:val="16"/>
              </w:rPr>
              <w:t>(allkirjastatud digitaalselt)</w:t>
            </w:r>
            <w:r w:rsidR="00AD73C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D73CA" w:rsidRPr="00AD73CA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0CE3B571" w14:textId="77777777" w:rsidR="00A14913" w:rsidRPr="00781A8A" w:rsidRDefault="00A14913" w:rsidP="00A1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6B47583" w14:textId="77777777" w:rsidR="00A14913" w:rsidRDefault="00A14913" w:rsidP="00A1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0CE4AE" w14:textId="77777777" w:rsidR="00A14913" w:rsidRPr="003F288C" w:rsidRDefault="00756B32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TUGITEGEVUSTE KONKURSSI HINDAMISJUHEND</w:t>
      </w:r>
    </w:p>
    <w:p w14:paraId="1DADA2A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44D5E7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50CEC979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2813F688" w14:textId="77777777" w:rsidR="00A14913" w:rsidRPr="00FC5340" w:rsidRDefault="00756B32" w:rsidP="00A1491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/>
        <w:ind w:left="851" w:hanging="567"/>
        <w:jc w:val="both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</w:rPr>
        <w:t>Tugitegevuste konkurssi hindamisju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hend on koostatud vastavalt </w:t>
      </w:r>
      <w:proofErr w:type="spellStart"/>
      <w:r>
        <w:rPr>
          <w:rFonts w:ascii="TimesNewRomanPSMT" w:hAnsi="TimesNewRomanPSMT" w:cs="TimesNewRomanPSMT"/>
        </w:rPr>
        <w:t>KÜSKi</w:t>
      </w:r>
      <w:proofErr w:type="spellEnd"/>
      <w:r>
        <w:rPr>
          <w:rFonts w:ascii="TimesNewRomanPSMT" w:hAnsi="TimesNewRomanPSMT" w:cs="TimesNewRomanPSMT"/>
        </w:rPr>
        <w:t xml:space="preserve"> nõukogu poolt 27.01.2016 aastal kinnitatud tugitegevuste rahastamise tingimuste punktile 7.4.</w:t>
      </w:r>
    </w:p>
    <w:p w14:paraId="20E59580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22A51E07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337DB3CE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7867C7B0" w14:textId="54872A19" w:rsidR="00A14913" w:rsidRPr="003F288C" w:rsidRDefault="00A14913" w:rsidP="00A14913">
      <w:pPr>
        <w:autoSpaceDE w:val="0"/>
        <w:autoSpaceDN w:val="0"/>
        <w:adjustRightInd w:val="0"/>
        <w:spacing w:after="100" w:afterAutospacing="1"/>
        <w:ind w:left="851" w:hanging="567"/>
        <w:jc w:val="both"/>
        <w:rPr>
          <w:rFonts w:ascii="TimesNewRomanPSMT" w:hAnsi="TimesNewRomanPSMT" w:cs="TimesNewRomanPSMT"/>
        </w:rPr>
      </w:pPr>
      <w:r w:rsidRPr="003F288C">
        <w:rPr>
          <w:rFonts w:ascii="Times New Roman" w:hAnsi="Times New Roman"/>
        </w:rPr>
        <w:t xml:space="preserve">2.1. </w:t>
      </w:r>
      <w:r w:rsidRPr="003F288C">
        <w:rPr>
          <w:rFonts w:ascii="Times New Roman" w:hAnsi="Times New Roman"/>
        </w:rPr>
        <w:tab/>
      </w:r>
      <w:r w:rsidRPr="003F288C">
        <w:rPr>
          <w:rFonts w:ascii="TimesNewRomanPSMT" w:hAnsi="TimesNewRomanPSMT" w:cs="TimesNewRomanPSMT"/>
        </w:rPr>
        <w:t xml:space="preserve">Nõuetele vastavaks tunnistatud taotlusi </w:t>
      </w:r>
      <w:r w:rsidR="00756B32">
        <w:rPr>
          <w:rFonts w:ascii="TimesNewRomanPSMT" w:hAnsi="TimesNewRomanPSMT" w:cs="TimesNewRomanPSMT"/>
        </w:rPr>
        <w:t xml:space="preserve">hindavad kaks </w:t>
      </w:r>
      <w:proofErr w:type="spellStart"/>
      <w:r w:rsidR="00756B32">
        <w:rPr>
          <w:rFonts w:ascii="TimesNewRomanPSMT" w:hAnsi="TimesNewRomanPSMT" w:cs="TimesNewRomanPSMT"/>
        </w:rPr>
        <w:t>KÜSKi</w:t>
      </w:r>
      <w:proofErr w:type="spellEnd"/>
      <w:r w:rsidR="00756B32">
        <w:rPr>
          <w:rFonts w:ascii="TimesNewRomanPSMT" w:hAnsi="TimesNewRomanPSMT" w:cs="TimesNewRomanPSMT"/>
        </w:rPr>
        <w:t xml:space="preserve"> juhataja poolt nimetatud </w:t>
      </w:r>
      <w:proofErr w:type="spellStart"/>
      <w:r w:rsidR="00756B32">
        <w:rPr>
          <w:rFonts w:ascii="TimesNewRomanPSMT" w:hAnsi="TimesNewRomanPSMT" w:cs="TimesNewRomanPSMT"/>
        </w:rPr>
        <w:t>KÜSKi</w:t>
      </w:r>
      <w:proofErr w:type="spellEnd"/>
      <w:r w:rsidR="00756B32">
        <w:rPr>
          <w:rFonts w:ascii="TimesNewRomanPSMT" w:hAnsi="TimesNewRomanPSMT" w:cs="TimesNewRomanPSMT"/>
        </w:rPr>
        <w:t xml:space="preserve"> hindamiseksperti</w:t>
      </w:r>
      <w:r w:rsidR="002E665D">
        <w:rPr>
          <w:rFonts w:ascii="TimesNewRomanPSMT" w:hAnsi="TimesNewRomanPSMT" w:cs="TimesNewRomanPSMT"/>
        </w:rPr>
        <w:t>.</w:t>
      </w:r>
    </w:p>
    <w:p w14:paraId="4064B3AF" w14:textId="46249445" w:rsidR="00A14913" w:rsidRDefault="00A14913" w:rsidP="00A14913">
      <w:pPr>
        <w:autoSpaceDE w:val="0"/>
        <w:autoSpaceDN w:val="0"/>
        <w:adjustRightInd w:val="0"/>
        <w:spacing w:after="100" w:afterAutospacing="1"/>
        <w:ind w:left="851" w:hanging="567"/>
        <w:jc w:val="both"/>
        <w:rPr>
          <w:rFonts w:ascii="TimesNewRomanPSMT" w:hAnsi="TimesNewRomanPSMT" w:cs="TimesNewRomanPSMT"/>
        </w:rPr>
      </w:pPr>
      <w:r w:rsidRPr="003F288C">
        <w:rPr>
          <w:rFonts w:ascii="Times New Roman" w:hAnsi="Times New Roman"/>
        </w:rPr>
        <w:t>2.2.</w:t>
      </w:r>
      <w:r w:rsidRPr="003F288C">
        <w:rPr>
          <w:rFonts w:ascii="TimesNewRomanPSMT" w:hAnsi="TimesNewRomanPSMT" w:cs="TimesNewRomanPSMT"/>
        </w:rPr>
        <w:tab/>
      </w:r>
      <w:r w:rsidR="00756B32">
        <w:rPr>
          <w:rFonts w:ascii="TimesNewRomanPSMT" w:hAnsi="TimesNewRomanPSMT" w:cs="TimesNewRomanPSMT"/>
        </w:rPr>
        <w:t xml:space="preserve">Hindamisekspert annab hindamise tulemusena </w:t>
      </w:r>
      <w:proofErr w:type="spellStart"/>
      <w:r w:rsidR="00756B32">
        <w:rPr>
          <w:rFonts w:ascii="TimesNewRomanPSMT" w:hAnsi="TimesNewRomanPSMT" w:cs="TimesNewRomanPSMT"/>
        </w:rPr>
        <w:t>KÜSKi</w:t>
      </w:r>
      <w:proofErr w:type="spellEnd"/>
      <w:r w:rsidR="00756B32">
        <w:rPr>
          <w:rFonts w:ascii="TimesNewRomanPSMT" w:hAnsi="TimesNewRomanPSMT" w:cs="TimesNewRomanPSMT"/>
        </w:rPr>
        <w:t xml:space="preserve"> nõukogule iga talle esitatud taotluse kohta </w:t>
      </w:r>
      <w:r w:rsidR="00911B04">
        <w:rPr>
          <w:rFonts w:ascii="TimesNewRomanPSMT" w:hAnsi="TimesNewRomanPSMT" w:cs="TimesNewRomanPSMT"/>
        </w:rPr>
        <w:t>soovituse</w:t>
      </w:r>
      <w:r w:rsidR="00756B32">
        <w:rPr>
          <w:rFonts w:ascii="TimesNewRomanPSMT" w:hAnsi="TimesNewRomanPSMT" w:cs="TimesNewRomanPSMT"/>
        </w:rPr>
        <w:t xml:space="preserve">, kas ta toetab esitatud taotluse rahastamist või mitte. </w:t>
      </w:r>
      <w:r w:rsidR="002E665D">
        <w:rPr>
          <w:rFonts w:ascii="TimesNewRomanPSMT" w:hAnsi="TimesNewRomanPSMT" w:cs="TimesNewRomanPSMT"/>
        </w:rPr>
        <w:t>Hindamisekspert põhjendab oma soovitust</w:t>
      </w:r>
      <w:r w:rsidR="00756B32">
        <w:rPr>
          <w:rFonts w:ascii="TimesNewRomanPSMT" w:hAnsi="TimesNewRomanPSMT" w:cs="TimesNewRomanPSMT"/>
        </w:rPr>
        <w:t xml:space="preserve"> Hindamisekspert võib teha ka soovituse vähendada taotluses nimetatud tegevusi ning rahastada taotlust osalises mahus.</w:t>
      </w:r>
    </w:p>
    <w:p w14:paraId="724E0714" w14:textId="77777777" w:rsidR="00FB19EC" w:rsidRDefault="00756B32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2.3 </w:t>
      </w:r>
      <w:r>
        <w:rPr>
          <w:rFonts w:ascii="TimesNewRomanPSMT" w:hAnsi="TimesNewRomanPSMT" w:cs="TimesNewRomanPSMT"/>
        </w:rPr>
        <w:tab/>
        <w:t xml:space="preserve">Hindamisekspert lähtub oma </w:t>
      </w:r>
      <w:r w:rsidR="00911B04">
        <w:rPr>
          <w:rFonts w:ascii="TimesNewRomanPSMT" w:hAnsi="TimesNewRomanPSMT" w:cs="TimesNewRomanPSMT"/>
        </w:rPr>
        <w:t>soovituse</w:t>
      </w:r>
      <w:r>
        <w:rPr>
          <w:rFonts w:ascii="TimesNewRomanPSMT" w:hAnsi="TimesNewRomanPSMT" w:cs="TimesNewRomanPSMT"/>
        </w:rPr>
        <w:t xml:space="preserve"> andmisel</w:t>
      </w:r>
      <w:r w:rsidR="00FB19EC">
        <w:rPr>
          <w:rFonts w:ascii="TimesNewRomanPSMT" w:hAnsi="TimesNewRomanPSMT" w:cs="TimesNewRomanPSMT"/>
        </w:rPr>
        <w:t>:</w:t>
      </w:r>
    </w:p>
    <w:p w14:paraId="3672878C" w14:textId="76254F1D" w:rsidR="00756B32" w:rsidRDefault="00FB19EC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2.3.1 </w:t>
      </w:r>
      <w:r w:rsidR="00756B32">
        <w:rPr>
          <w:rFonts w:ascii="TimesNewRomanPSMT" w:hAnsi="TimesNewRomanPSMT" w:cs="TimesNewRomanPSMT"/>
        </w:rPr>
        <w:t xml:space="preserve">tugitegevuste rahastamise </w:t>
      </w:r>
      <w:proofErr w:type="spellStart"/>
      <w:r w:rsidR="00756B32">
        <w:rPr>
          <w:rFonts w:ascii="TimesNewRomanPSMT" w:hAnsi="TimesNewRomanPSMT" w:cs="TimesNewRomanPSMT"/>
        </w:rPr>
        <w:t>üldpõhimõtetest</w:t>
      </w:r>
      <w:proofErr w:type="spellEnd"/>
      <w:r w:rsidR="002E665D">
        <w:rPr>
          <w:rFonts w:ascii="TimesNewRomanPSMT" w:hAnsi="TimesNewRomanPSMT" w:cs="TimesNewRomanPSMT"/>
        </w:rPr>
        <w:t xml:space="preserve"> - hinnates, </w:t>
      </w:r>
      <w:r>
        <w:rPr>
          <w:rFonts w:ascii="TimesNewRomanPSMT" w:hAnsi="TimesNewRomanPSMT" w:cs="TimesNewRomanPSMT"/>
        </w:rPr>
        <w:t xml:space="preserve">kas taotlus vastab tugitegevuste rahastamise tingimuste punktile 3; </w:t>
      </w:r>
      <w:r w:rsidR="00756B32">
        <w:rPr>
          <w:rFonts w:ascii="TimesNewRomanPSMT" w:hAnsi="TimesNewRomanPSMT" w:cs="TimesNewRomanPSMT"/>
        </w:rPr>
        <w:t xml:space="preserve"> </w:t>
      </w:r>
    </w:p>
    <w:p w14:paraId="62C6D44F" w14:textId="31FAA616" w:rsidR="00FB19EC" w:rsidRDefault="00FB19EC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2.3.2  taotluse vastavusest taotlusele esitatavatele nõuetele (tugitegevuste rahastamise tingimuste punkt 5.3) – hinnates,</w:t>
      </w:r>
      <w:r w:rsidR="002E665D">
        <w:rPr>
          <w:rFonts w:ascii="TimesNewRomanPSMT" w:hAnsi="TimesNewRomanPSMT" w:cs="TimesNewRomanPSMT"/>
        </w:rPr>
        <w:t xml:space="preserve"> kas taotlus on nõuetest lähtuvalt piisavalt põhjendatud</w:t>
      </w:r>
      <w:r>
        <w:rPr>
          <w:rFonts w:ascii="TimesNewRomanPSMT" w:hAnsi="TimesNewRomanPSMT" w:cs="TimesNewRomanPSMT"/>
        </w:rPr>
        <w:t>;</w:t>
      </w:r>
    </w:p>
    <w:p w14:paraId="22DF780A" w14:textId="17352729" w:rsidR="004E7A8D" w:rsidRDefault="00FB19EC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2.3.3 </w:t>
      </w:r>
      <w:r w:rsidR="002E665D">
        <w:rPr>
          <w:rFonts w:ascii="TimesNewRomanPSMT" w:hAnsi="TimesNewRomanPSMT" w:cs="TimesNewRomanPSMT"/>
        </w:rPr>
        <w:t xml:space="preserve"> p</w:t>
      </w:r>
      <w:r w:rsidR="002E665D" w:rsidRPr="002E665D">
        <w:rPr>
          <w:rFonts w:ascii="TimesNewRomanPSMT" w:hAnsi="TimesNewRomanPSMT" w:cs="TimesNewRomanPSMT"/>
        </w:rPr>
        <w:t>rojekti eelarve kulude vajalikkusest, kalkulatsiooni arusaadavusest ja põhjendustest</w:t>
      </w:r>
      <w:r w:rsidR="002E665D">
        <w:rPr>
          <w:rFonts w:ascii="TimesNewRomanPSMT" w:hAnsi="TimesNewRomanPSMT" w:cs="TimesNewRomanPSMT"/>
        </w:rPr>
        <w:t>.</w:t>
      </w:r>
    </w:p>
    <w:p w14:paraId="17AB06EB" w14:textId="77777777" w:rsidR="002E665D" w:rsidRDefault="002E665D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</w:p>
    <w:p w14:paraId="720CD346" w14:textId="6D2C15CD" w:rsidR="00FB19EC" w:rsidRDefault="004E7A8D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2.4. KÜSK koostab hindamisekspertidele hindamiseks hindamistabeli. Hindamisekspert edastab </w:t>
      </w:r>
      <w:proofErr w:type="spellStart"/>
      <w:r>
        <w:rPr>
          <w:rFonts w:ascii="TimesNewRomanPSMT" w:hAnsi="TimesNewRomanPSMT" w:cs="TimesNewRomanPSMT"/>
        </w:rPr>
        <w:t>KÜSKile</w:t>
      </w:r>
      <w:proofErr w:type="spellEnd"/>
      <w:r>
        <w:rPr>
          <w:rFonts w:ascii="TimesNewRomanPSMT" w:hAnsi="TimesNewRomanPSMT" w:cs="TimesNewRomanPSMT"/>
        </w:rPr>
        <w:t xml:space="preserve"> täidetud hindamistabeli kokkulepitud tähtajaks. Üldjuhul hindajate koosolekut ei toimu.</w:t>
      </w:r>
    </w:p>
    <w:p w14:paraId="4F4D455E" w14:textId="77777777" w:rsidR="002E665D" w:rsidRPr="003F288C" w:rsidRDefault="002E665D" w:rsidP="00FB19EC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NewRomanPSMT" w:hAnsi="TimesNewRomanPSMT" w:cs="TimesNewRomanPSMT"/>
        </w:rPr>
      </w:pPr>
    </w:p>
    <w:p w14:paraId="4DEA0759" w14:textId="31D70C9E" w:rsidR="000D0761" w:rsidRDefault="00A14913" w:rsidP="00911B04">
      <w:pPr>
        <w:autoSpaceDE w:val="0"/>
        <w:autoSpaceDN w:val="0"/>
        <w:adjustRightInd w:val="0"/>
        <w:spacing w:after="100" w:afterAutospacing="1"/>
        <w:ind w:left="851" w:hanging="567"/>
        <w:jc w:val="both"/>
        <w:rPr>
          <w:rFonts w:ascii="TimesNewRomanPSMT" w:hAnsi="TimesNewRomanPSMT" w:cs="TimesNewRomanPSMT"/>
        </w:rPr>
      </w:pPr>
      <w:r w:rsidRPr="003F288C">
        <w:rPr>
          <w:rFonts w:ascii="TimesNewRomanPSMT" w:hAnsi="TimesNewRomanPSMT" w:cs="TimesNewRomanPSMT"/>
        </w:rPr>
        <w:t>2.</w:t>
      </w:r>
      <w:r w:rsidR="002E665D">
        <w:rPr>
          <w:rFonts w:ascii="TimesNewRomanPSMT" w:hAnsi="TimesNewRomanPSMT" w:cs="TimesNewRomanPSMT"/>
        </w:rPr>
        <w:t>5.</w:t>
      </w:r>
      <w:r w:rsidRPr="003F288C">
        <w:rPr>
          <w:rFonts w:ascii="TimesNewRomanPSMT" w:hAnsi="TimesNewRomanPSMT" w:cs="TimesNewRomanPSMT"/>
        </w:rPr>
        <w:tab/>
      </w:r>
      <w:proofErr w:type="spellStart"/>
      <w:r w:rsidR="00A83685">
        <w:rPr>
          <w:rFonts w:ascii="TimesNewRomanPSMT" w:hAnsi="TimesNewRomanPSMT" w:cs="TimesNewRomanPSMT"/>
        </w:rPr>
        <w:t>KÜSKi</w:t>
      </w:r>
      <w:proofErr w:type="spellEnd"/>
      <w:r w:rsidR="00A83685">
        <w:rPr>
          <w:rFonts w:ascii="TimesNewRomanPSMT" w:hAnsi="TimesNewRomanPSMT" w:cs="TimesNewRomanPSMT"/>
        </w:rPr>
        <w:t xml:space="preserve"> büroo esitab </w:t>
      </w:r>
      <w:proofErr w:type="spellStart"/>
      <w:r w:rsidR="00A83685">
        <w:rPr>
          <w:rFonts w:ascii="TimesNewRomanPSMT" w:hAnsi="TimesNewRomanPSMT" w:cs="TimesNewRomanPSMT"/>
        </w:rPr>
        <w:t>KÜSKi</w:t>
      </w:r>
      <w:proofErr w:type="spellEnd"/>
      <w:r w:rsidR="00A83685">
        <w:rPr>
          <w:rFonts w:ascii="TimesNewRomanPSMT" w:hAnsi="TimesNewRomanPSMT" w:cs="TimesNewRomanPSMT"/>
        </w:rPr>
        <w:t xml:space="preserve"> nõukogule kokkuvõtte </w:t>
      </w:r>
      <w:r w:rsidR="002E665D">
        <w:rPr>
          <w:rFonts w:ascii="TimesNewRomanPSMT" w:hAnsi="TimesNewRomanPSMT" w:cs="TimesNewRomanPSMT"/>
        </w:rPr>
        <w:t>hindamisekspertide</w:t>
      </w:r>
      <w:r w:rsidR="00A83685">
        <w:rPr>
          <w:rFonts w:ascii="TimesNewRomanPSMT" w:hAnsi="TimesNewRomanPSMT" w:cs="TimesNewRomanPSMT"/>
        </w:rPr>
        <w:t xml:space="preserve"> soovitustest ja nende kohta lisatud põhjendustest. </w:t>
      </w:r>
      <w:proofErr w:type="spellStart"/>
      <w:r w:rsidR="00A83685">
        <w:rPr>
          <w:rFonts w:ascii="TimesNewRomanPSMT" w:hAnsi="TimesNewRomanPSMT" w:cs="TimesNewRomanPSMT"/>
        </w:rPr>
        <w:t>KÜSKi</w:t>
      </w:r>
      <w:proofErr w:type="spellEnd"/>
      <w:r w:rsidR="00A83685">
        <w:rPr>
          <w:rFonts w:ascii="TimesNewRomanPSMT" w:hAnsi="TimesNewRomanPSMT" w:cs="TimesNewRomanPSMT"/>
        </w:rPr>
        <w:t xml:space="preserve"> büroo selekteerib esitatud taotlused kolmeks: </w:t>
      </w:r>
      <w:r w:rsidR="002E665D">
        <w:rPr>
          <w:rFonts w:ascii="TimesNewRomanPSMT" w:hAnsi="TimesNewRomanPSMT" w:cs="TimesNewRomanPSMT"/>
        </w:rPr>
        <w:t xml:space="preserve">1) </w:t>
      </w:r>
      <w:r w:rsidR="00A83685">
        <w:rPr>
          <w:rFonts w:ascii="TimesNewRomanPSMT" w:hAnsi="TimesNewRomanPSMT" w:cs="TimesNewRomanPSMT"/>
        </w:rPr>
        <w:t xml:space="preserve">taotlused, mis said kaks poolthäält; </w:t>
      </w:r>
      <w:r w:rsidR="002E665D">
        <w:rPr>
          <w:rFonts w:ascii="TimesNewRomanPSMT" w:hAnsi="TimesNewRomanPSMT" w:cs="TimesNewRomanPSMT"/>
        </w:rPr>
        <w:t xml:space="preserve">2) </w:t>
      </w:r>
      <w:r w:rsidR="00A83685">
        <w:rPr>
          <w:rFonts w:ascii="TimesNewRomanPSMT" w:hAnsi="TimesNewRomanPSMT" w:cs="TimesNewRomanPSMT"/>
        </w:rPr>
        <w:t>taotlused, mis said ühe poolthääle</w:t>
      </w:r>
      <w:r w:rsidR="002E665D">
        <w:rPr>
          <w:rFonts w:ascii="TimesNewRomanPSMT" w:hAnsi="TimesNewRomanPSMT" w:cs="TimesNewRomanPSMT"/>
        </w:rPr>
        <w:t>;</w:t>
      </w:r>
      <w:r w:rsidR="00A83685">
        <w:rPr>
          <w:rFonts w:ascii="TimesNewRomanPSMT" w:hAnsi="TimesNewRomanPSMT" w:cs="TimesNewRomanPSMT"/>
        </w:rPr>
        <w:t xml:space="preserve"> </w:t>
      </w:r>
      <w:r w:rsidR="002E665D">
        <w:rPr>
          <w:rFonts w:ascii="TimesNewRomanPSMT" w:hAnsi="TimesNewRomanPSMT" w:cs="TimesNewRomanPSMT"/>
        </w:rPr>
        <w:t xml:space="preserve">3) </w:t>
      </w:r>
      <w:r w:rsidR="00A83685">
        <w:rPr>
          <w:rFonts w:ascii="TimesNewRomanPSMT" w:hAnsi="TimesNewRomanPSMT" w:cs="TimesNewRomanPSMT"/>
        </w:rPr>
        <w:t>taotlused, mis ei saanud poolthääli</w:t>
      </w:r>
      <w:r w:rsidR="002E665D">
        <w:rPr>
          <w:rFonts w:ascii="TimesNewRomanPSMT" w:hAnsi="TimesNewRomanPSMT" w:cs="TimesNewRomanPSMT"/>
        </w:rPr>
        <w:t>.</w:t>
      </w:r>
    </w:p>
    <w:p w14:paraId="2628AD9C" w14:textId="2F3DD951" w:rsidR="00EA475D" w:rsidRPr="003F288C" w:rsidRDefault="00EA475D" w:rsidP="00EA475D">
      <w:pPr>
        <w:autoSpaceDE w:val="0"/>
        <w:autoSpaceDN w:val="0"/>
        <w:adjustRightInd w:val="0"/>
        <w:spacing w:after="100" w:afterAutospacing="1"/>
        <w:ind w:left="851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="002E665D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ab/>
      </w:r>
      <w:r w:rsidR="002E665D">
        <w:rPr>
          <w:rFonts w:ascii="TimesNewRomanPSMT" w:hAnsi="TimesNewRomanPSMT" w:cs="TimesNewRomanPSMT"/>
        </w:rPr>
        <w:t>H</w:t>
      </w:r>
      <w:r w:rsidR="002E665D" w:rsidRPr="002E665D">
        <w:rPr>
          <w:rFonts w:ascii="TimesNewRomanPSMT" w:hAnsi="TimesNewRomanPSMT" w:cs="TimesNewRomanPSMT"/>
        </w:rPr>
        <w:t>uvide konflikti olukorra</w:t>
      </w:r>
      <w:r w:rsidR="002E665D">
        <w:rPr>
          <w:rFonts w:ascii="TimesNewRomanPSMT" w:hAnsi="TimesNewRomanPSMT" w:cs="TimesNewRomanPSMT"/>
        </w:rPr>
        <w:t xml:space="preserve"> tekkides</w:t>
      </w:r>
      <w:r w:rsidR="002E665D" w:rsidRPr="002E665D">
        <w:rPr>
          <w:rFonts w:ascii="TimesNewRomanPSMT" w:hAnsi="TimesNewRomanPSMT" w:cs="TimesNewRomanPSMT"/>
        </w:rPr>
        <w:t xml:space="preserve"> lähtuvad </w:t>
      </w:r>
      <w:r w:rsidR="002E665D">
        <w:rPr>
          <w:rFonts w:ascii="TimesNewRomanPSMT" w:hAnsi="TimesNewRomanPSMT" w:cs="TimesNewRomanPSMT"/>
        </w:rPr>
        <w:t>hindamiseksperdid</w:t>
      </w:r>
      <w:r w:rsidR="002E665D" w:rsidRPr="002E665D">
        <w:rPr>
          <w:rFonts w:ascii="TimesNewRomanPSMT" w:hAnsi="TimesNewRomanPSMT" w:cs="TimesNewRomanPSMT"/>
        </w:rPr>
        <w:t xml:space="preserve"> </w:t>
      </w:r>
      <w:proofErr w:type="spellStart"/>
      <w:r w:rsidR="002E665D" w:rsidRPr="002E665D">
        <w:rPr>
          <w:rFonts w:ascii="TimesNewRomanPSMT" w:hAnsi="TimesNewRomanPSMT" w:cs="TimesNewRomanPSMT"/>
        </w:rPr>
        <w:t>KÜSKi</w:t>
      </w:r>
      <w:proofErr w:type="spellEnd"/>
      <w:r w:rsidR="002E665D" w:rsidRPr="002E665D">
        <w:rPr>
          <w:rFonts w:ascii="TimesNewRomanPSMT" w:hAnsi="TimesNewRomanPSMT" w:cs="TimesNewRomanPSMT"/>
        </w:rPr>
        <w:t xml:space="preserve"> hindamisekspertide tegevuste aluste dokumendist</w:t>
      </w:r>
      <w:r>
        <w:rPr>
          <w:rFonts w:ascii="TimesNewRomanPSMT" w:hAnsi="TimesNewRomanPSMT" w:cs="TimesNewRomanPSMT"/>
        </w:rPr>
        <w:t>.</w:t>
      </w:r>
    </w:p>
    <w:p w14:paraId="01991011" w14:textId="77777777" w:rsidR="00EA475D" w:rsidRPr="00525FDA" w:rsidRDefault="00EA475D" w:rsidP="00911B04">
      <w:pPr>
        <w:autoSpaceDE w:val="0"/>
        <w:autoSpaceDN w:val="0"/>
        <w:adjustRightInd w:val="0"/>
        <w:spacing w:after="100" w:afterAutospacing="1"/>
        <w:ind w:left="851" w:hanging="567"/>
        <w:jc w:val="both"/>
        <w:rPr>
          <w:rFonts w:ascii="Times New Roman" w:hAnsi="Times New Roman"/>
          <w:sz w:val="20"/>
          <w:szCs w:val="20"/>
        </w:rPr>
      </w:pPr>
    </w:p>
    <w:p w14:paraId="680A2035" w14:textId="77777777" w:rsidR="000D0761" w:rsidRPr="000F4085" w:rsidRDefault="000D0761" w:rsidP="00A14913">
      <w:pPr>
        <w:rPr>
          <w:rFonts w:ascii="Times New Roman" w:hAnsi="Times New Roman"/>
          <w:sz w:val="20"/>
          <w:szCs w:val="20"/>
        </w:rPr>
      </w:pPr>
    </w:p>
    <w:sectPr w:rsidR="000D0761" w:rsidRPr="000F4085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C1A10"/>
    <w:rsid w:val="001F7E9C"/>
    <w:rsid w:val="00205ABC"/>
    <w:rsid w:val="0022193A"/>
    <w:rsid w:val="00240527"/>
    <w:rsid w:val="002426DC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2E665D"/>
    <w:rsid w:val="0030543C"/>
    <w:rsid w:val="00344005"/>
    <w:rsid w:val="00346188"/>
    <w:rsid w:val="00347F09"/>
    <w:rsid w:val="003530B8"/>
    <w:rsid w:val="00367DE0"/>
    <w:rsid w:val="00382A74"/>
    <w:rsid w:val="00392E63"/>
    <w:rsid w:val="00397BE5"/>
    <w:rsid w:val="003C2528"/>
    <w:rsid w:val="003E1C73"/>
    <w:rsid w:val="003E7E89"/>
    <w:rsid w:val="00405A67"/>
    <w:rsid w:val="00424CE4"/>
    <w:rsid w:val="00442577"/>
    <w:rsid w:val="00444A86"/>
    <w:rsid w:val="00456398"/>
    <w:rsid w:val="00476D27"/>
    <w:rsid w:val="004B7912"/>
    <w:rsid w:val="004C3BCB"/>
    <w:rsid w:val="004E7A8D"/>
    <w:rsid w:val="00506A81"/>
    <w:rsid w:val="005120C2"/>
    <w:rsid w:val="00524597"/>
    <w:rsid w:val="00525FDA"/>
    <w:rsid w:val="0052686D"/>
    <w:rsid w:val="00534D5E"/>
    <w:rsid w:val="0054410C"/>
    <w:rsid w:val="005F005C"/>
    <w:rsid w:val="006471CB"/>
    <w:rsid w:val="00674EEA"/>
    <w:rsid w:val="006A4768"/>
    <w:rsid w:val="006A6777"/>
    <w:rsid w:val="006F2448"/>
    <w:rsid w:val="00707014"/>
    <w:rsid w:val="007529B7"/>
    <w:rsid w:val="00756B32"/>
    <w:rsid w:val="00781A8A"/>
    <w:rsid w:val="00790A85"/>
    <w:rsid w:val="007A151D"/>
    <w:rsid w:val="007B1563"/>
    <w:rsid w:val="007D5000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A272C"/>
    <w:rsid w:val="008A4D75"/>
    <w:rsid w:val="008B0CB7"/>
    <w:rsid w:val="008B18FB"/>
    <w:rsid w:val="008E09C7"/>
    <w:rsid w:val="008F0236"/>
    <w:rsid w:val="008F22B6"/>
    <w:rsid w:val="008F63A2"/>
    <w:rsid w:val="00911B04"/>
    <w:rsid w:val="00930FE5"/>
    <w:rsid w:val="00932D36"/>
    <w:rsid w:val="00942030"/>
    <w:rsid w:val="00962F7D"/>
    <w:rsid w:val="009672A8"/>
    <w:rsid w:val="009749B2"/>
    <w:rsid w:val="00980D28"/>
    <w:rsid w:val="00981AC7"/>
    <w:rsid w:val="00981CF5"/>
    <w:rsid w:val="0098540A"/>
    <w:rsid w:val="009C1E8F"/>
    <w:rsid w:val="009F3451"/>
    <w:rsid w:val="009F5426"/>
    <w:rsid w:val="00A14913"/>
    <w:rsid w:val="00A273DA"/>
    <w:rsid w:val="00A337E7"/>
    <w:rsid w:val="00A4653F"/>
    <w:rsid w:val="00A508C2"/>
    <w:rsid w:val="00A52389"/>
    <w:rsid w:val="00A71581"/>
    <w:rsid w:val="00A83685"/>
    <w:rsid w:val="00AA671D"/>
    <w:rsid w:val="00AD2C93"/>
    <w:rsid w:val="00AD73CA"/>
    <w:rsid w:val="00AE23A6"/>
    <w:rsid w:val="00AE4BBD"/>
    <w:rsid w:val="00AE50CF"/>
    <w:rsid w:val="00B04721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9191B"/>
    <w:rsid w:val="00BB20B4"/>
    <w:rsid w:val="00C050CA"/>
    <w:rsid w:val="00C12814"/>
    <w:rsid w:val="00C2713C"/>
    <w:rsid w:val="00C36C7B"/>
    <w:rsid w:val="00C46AD6"/>
    <w:rsid w:val="00C561B1"/>
    <w:rsid w:val="00C774A9"/>
    <w:rsid w:val="00CD28D2"/>
    <w:rsid w:val="00CD76EB"/>
    <w:rsid w:val="00D063EF"/>
    <w:rsid w:val="00D11E83"/>
    <w:rsid w:val="00D14A26"/>
    <w:rsid w:val="00D228F4"/>
    <w:rsid w:val="00D26860"/>
    <w:rsid w:val="00D4372B"/>
    <w:rsid w:val="00D512DF"/>
    <w:rsid w:val="00D519C5"/>
    <w:rsid w:val="00DA105C"/>
    <w:rsid w:val="00DB4C46"/>
    <w:rsid w:val="00DC04F9"/>
    <w:rsid w:val="00DF01F7"/>
    <w:rsid w:val="00DF0258"/>
    <w:rsid w:val="00DF4B8F"/>
    <w:rsid w:val="00E07C1A"/>
    <w:rsid w:val="00E10DB1"/>
    <w:rsid w:val="00E26636"/>
    <w:rsid w:val="00E2719B"/>
    <w:rsid w:val="00E470F4"/>
    <w:rsid w:val="00E740E3"/>
    <w:rsid w:val="00EA475D"/>
    <w:rsid w:val="00EA4F55"/>
    <w:rsid w:val="00EA504F"/>
    <w:rsid w:val="00EB29EF"/>
    <w:rsid w:val="00EC6A14"/>
    <w:rsid w:val="00EC7496"/>
    <w:rsid w:val="00ED1D98"/>
    <w:rsid w:val="00EF1D1B"/>
    <w:rsid w:val="00F27143"/>
    <w:rsid w:val="00F31656"/>
    <w:rsid w:val="00F33F75"/>
    <w:rsid w:val="00F40632"/>
    <w:rsid w:val="00F8054E"/>
    <w:rsid w:val="00F90EF3"/>
    <w:rsid w:val="00F94899"/>
    <w:rsid w:val="00FA382B"/>
    <w:rsid w:val="00FB19EC"/>
    <w:rsid w:val="00FC534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0D14"/>
  <w15:docId w15:val="{59905958-6FD1-42F0-AB88-CF7E484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5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Saima Mänd</dc:creator>
  <cp:lastModifiedBy>Martin Laidla</cp:lastModifiedBy>
  <cp:revision>2</cp:revision>
  <cp:lastPrinted>2015-02-06T10:33:00Z</cp:lastPrinted>
  <dcterms:created xsi:type="dcterms:W3CDTF">2016-02-16T16:28:00Z</dcterms:created>
  <dcterms:modified xsi:type="dcterms:W3CDTF">2016-02-16T16:28:00Z</dcterms:modified>
</cp:coreProperties>
</file>