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FE38" w14:textId="77777777" w:rsidR="004A2565" w:rsidRPr="004A2565" w:rsidRDefault="004A2565" w:rsidP="004A2565">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14:ligatures w14:val="none"/>
        </w:rPr>
      </w:pPr>
      <w:r w:rsidRPr="004A2565">
        <w:rPr>
          <w:rFonts w:ascii="Times New Roman" w:eastAsia="Times New Roman" w:hAnsi="Times New Roman" w:cs="Times New Roman"/>
          <w:b/>
          <w:bCs/>
          <w:kern w:val="36"/>
          <w:sz w:val="48"/>
          <w:szCs w:val="48"/>
          <w:lang w:eastAsia="et-EE"/>
          <w14:ligatures w14:val="none"/>
        </w:rPr>
        <w:t>Civil Society Organizations’ Experiences and Capacity to Involve Newcomers, People with Diverse Linguistic and Cultural Backgrounds, and Returnees</w:t>
      </w:r>
    </w:p>
    <w:p w14:paraId="29AC6C95" w14:textId="70E2C263"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Mapping Analysis</w:t>
      </w:r>
      <w:r w:rsidRPr="004A2565">
        <w:rPr>
          <w:rFonts w:ascii="Times New Roman" w:eastAsia="Times New Roman" w:hAnsi="Times New Roman" w:cs="Times New Roman"/>
          <w:kern w:val="0"/>
          <w:lang w:eastAsia="et-EE"/>
          <w14:ligatures w14:val="none"/>
        </w:rPr>
        <w:br/>
      </w:r>
      <w:hyperlink r:id="rId5" w:history="1">
        <w:r w:rsidRPr="004A2565">
          <w:rPr>
            <w:rStyle w:val="Hyperlink"/>
            <w:rFonts w:ascii="Times New Roman" w:eastAsia="Times New Roman" w:hAnsi="Times New Roman" w:cs="Times New Roman"/>
            <w:kern w:val="0"/>
            <w:lang w:eastAsia="et-EE"/>
            <w14:ligatures w14:val="none"/>
          </w:rPr>
          <w:t>PRAXIS | THINK TANK</w:t>
        </w:r>
      </w:hyperlink>
    </w:p>
    <w:p w14:paraId="56CE597C"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Praxis | Civil Society Organizations’ Experiences and Capacity to Involve Newcomers, People with Diverse Linguistic and Cultural Backgrounds, and Returnees</w:t>
      </w:r>
    </w:p>
    <w:p w14:paraId="454BBD38"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Authors:</w:t>
      </w:r>
      <w:r w:rsidRPr="004A2565">
        <w:rPr>
          <w:rFonts w:ascii="Times New Roman" w:eastAsia="Times New Roman" w:hAnsi="Times New Roman" w:cs="Times New Roman"/>
          <w:kern w:val="0"/>
          <w:lang w:eastAsia="et-EE"/>
          <w14:ligatures w14:val="none"/>
        </w:rPr>
        <w:t xml:space="preserve"> Miriam Lehari, Tali Kletter, Isabel Jezierska, Maarja Tinn</w:t>
      </w:r>
    </w:p>
    <w:p w14:paraId="05A6D8A7"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This mapping analysis was commissioned by the National Foundation of Civil Society (NFCS).</w:t>
      </w:r>
    </w:p>
    <w:p w14:paraId="6CD220D5"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Acknowledgements:</w:t>
      </w:r>
      <w:r w:rsidRPr="004A2565">
        <w:rPr>
          <w:rFonts w:ascii="Times New Roman" w:eastAsia="Times New Roman" w:hAnsi="Times New Roman" w:cs="Times New Roman"/>
          <w:kern w:val="0"/>
          <w:lang w:eastAsia="et-EE"/>
          <w14:ligatures w14:val="none"/>
        </w:rPr>
        <w:t xml:space="preserve"> We thank Andi Kissel for supporting quantitative data analysis, Eveliis Padar for conducting focus group interviews, and Alari Rammo, who contributed as an expert in the substantive development of the study.</w:t>
      </w:r>
    </w:p>
    <w:p w14:paraId="544284FD"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Publisher:</w:t>
      </w:r>
      <w:r w:rsidRPr="004A2565">
        <w:rPr>
          <w:rFonts w:ascii="Times New Roman" w:eastAsia="Times New Roman" w:hAnsi="Times New Roman" w:cs="Times New Roman"/>
          <w:kern w:val="0"/>
          <w:lang w:eastAsia="et-EE"/>
          <w14:ligatures w14:val="none"/>
        </w:rPr>
        <w:t xml:space="preserve"> Praxis is a non-profit think tank whose mission is to support evidence-based policymaking and participatory democracy.</w:t>
      </w:r>
    </w:p>
    <w:p w14:paraId="16F4B042"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 Praxis Think Tank. When using the information in this report, please cite the source.</w:t>
      </w:r>
    </w:p>
    <w:p w14:paraId="441A9F5B"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Suggested citation:</w:t>
      </w:r>
      <w:r w:rsidRPr="004A2565">
        <w:rPr>
          <w:rFonts w:ascii="Times New Roman" w:eastAsia="Times New Roman" w:hAnsi="Times New Roman" w:cs="Times New Roman"/>
          <w:kern w:val="0"/>
          <w:lang w:eastAsia="et-EE"/>
          <w14:ligatures w14:val="none"/>
        </w:rPr>
        <w:br/>
        <w:t>Lehari, M., Kletter, T., Jezierska, I. &amp; Tinn, M. (2025). Civil Society Organizations’ Experiences and Capacity to Involve Newcomers, People with Diverse Linguistic and Cultural Backgrounds, and Returnees. Praxis Think Tank.</w:t>
      </w:r>
    </w:p>
    <w:p w14:paraId="4C60358F"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ISBN: 978-9949-662-XX-X (pdf)</w:t>
      </w:r>
    </w:p>
    <w:p w14:paraId="21F37E13"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 xml:space="preserve">This analysis was supported by the European Social Fund and the Ministry of Culture (ESF-KUM) project based on the Minister of Culture’s decree </w:t>
      </w:r>
      <w:r w:rsidRPr="004A2565">
        <w:rPr>
          <w:rFonts w:ascii="Times New Roman" w:eastAsia="Times New Roman" w:hAnsi="Times New Roman" w:cs="Times New Roman"/>
          <w:i/>
          <w:iCs/>
          <w:kern w:val="0"/>
          <w:lang w:eastAsia="et-EE"/>
          <w14:ligatures w14:val="none"/>
        </w:rPr>
        <w:t>“Support for Community Activities Promoting Integration.”</w:t>
      </w:r>
    </w:p>
    <w:p w14:paraId="0C2D961B" w14:textId="6D8C32F6" w:rsidR="00FE3117" w:rsidRPr="00FE3117" w:rsidRDefault="004A2565" w:rsidP="00FE3117">
      <w:pPr>
        <w:spacing w:after="0" w:line="240" w:lineRule="auto"/>
        <w:rPr>
          <w:rFonts w:ascii="Times New Roman" w:eastAsia="Times New Roman" w:hAnsi="Times New Roman" w:cs="Times New Roman"/>
          <w:kern w:val="0"/>
          <w:lang w:eastAsia="et-EE"/>
          <w14:ligatures w14:val="none"/>
        </w:rPr>
      </w:pPr>
      <w:bookmarkStart w:id="0" w:name="_Hlk208491417"/>
      <w:r w:rsidRPr="004A2565">
        <w:rPr>
          <w:rFonts w:ascii="Times New Roman" w:eastAsia="Times New Roman" w:hAnsi="Times New Roman" w:cs="Times New Roman"/>
          <w:kern w:val="0"/>
          <w:lang w:eastAsia="et-EE"/>
          <w14:ligatures w14:val="none"/>
        </w:rPr>
        <w:pict w14:anchorId="5D5EAD87">
          <v:rect id="_x0000_i1025" style="width:0;height:1.5pt" o:hralign="center" o:hrstd="t" o:hr="t" fillcolor="#a0a0a0" stroked="f"/>
        </w:pict>
      </w:r>
      <w:bookmarkEnd w:id="0"/>
      <w:r w:rsidR="00FE3117" w:rsidRPr="00201A5E">
        <w:rPr>
          <w:rStyle w:val="Heading2Char"/>
          <w:b/>
          <w:bCs/>
        </w:rPr>
        <w:t xml:space="preserve"> </w:t>
      </w:r>
      <w:r w:rsidR="00FE3117" w:rsidRPr="00201A5E">
        <w:rPr>
          <w:rStyle w:val="Heading2Char"/>
          <w:b/>
          <w:bCs/>
          <w:lang w:eastAsia="et-EE"/>
        </w:rPr>
        <w:t>Introduction</w:t>
      </w:r>
    </w:p>
    <w:p w14:paraId="4BE44DD8"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108B2E9D"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 xml:space="preserve">A changing migration environment has brought an increasingly diverse population to Estonian society, including newcomers, people with different linguistic and cultural backgrounds, and returnees. At the same time, civil society organizations (CSOs) play an important role in supporting community cohesion and social participation, including through volunteering. CSOs often act as bridge-builders in their communities, providing space for participation, cooperation, and a sense of belonging. It is therefore crucial to understand the readiness, </w:t>
      </w:r>
      <w:r w:rsidRPr="00FE3117">
        <w:rPr>
          <w:rFonts w:ascii="Times New Roman" w:eastAsia="Times New Roman" w:hAnsi="Times New Roman" w:cs="Times New Roman"/>
          <w:kern w:val="0"/>
          <w:lang w:eastAsia="et-EE"/>
          <w14:ligatures w14:val="none"/>
        </w:rPr>
        <w:lastRenderedPageBreak/>
        <w:t>experience, and capacity of these organizations to involve people from diverse backgrounds in their activities.</w:t>
      </w:r>
    </w:p>
    <w:p w14:paraId="4687FA07"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698FB2D6"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The aim of this mapping analysis is to provide a substantive and multifaceted overview of how Estonian CSOs involve newcomers, people with diverse linguistic and cultural backgrounds, and returnees in their activities. The analysis focuses on organizations’ experiences so far, their competencies in inclusion, barriers encountered, and supportive practices. The study is based on three data layers: document analysis, an online survey, and two focus group discussions. This combined approach allows for the integration of quantitative patterns and qualitative insights, offering a rich picture of actual practices and needs.</w:t>
      </w:r>
    </w:p>
    <w:p w14:paraId="48CCA2D8"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6D900FE8"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The mapping analysis sought to answer the following research questions:</w:t>
      </w:r>
    </w:p>
    <w:p w14:paraId="4ABF3682"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69E40865" w14:textId="063BA29B" w:rsidR="00FE3117" w:rsidRPr="00201A5E" w:rsidRDefault="00FE3117" w:rsidP="00FE3117">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What has been the experience of CSOs in involving people with different linguistic and cultural backgrounds?</w:t>
      </w:r>
    </w:p>
    <w:p w14:paraId="13B12F8B" w14:textId="6752ABB7" w:rsidR="00FE3117" w:rsidRPr="00201A5E" w:rsidRDefault="00FE3117" w:rsidP="00FE3117">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What competencies do organizations currently have for inclusion, and what additional competencies are needed?</w:t>
      </w:r>
    </w:p>
    <w:p w14:paraId="49BEF729" w14:textId="22FBABDE" w:rsidR="00FE3117" w:rsidRPr="00201A5E" w:rsidRDefault="00FE3117" w:rsidP="00FE3117">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How and in what roles are target groups involved in CSOs’ activities?</w:t>
      </w:r>
    </w:p>
    <w:p w14:paraId="6EA0F7E1" w14:textId="2831D595" w:rsidR="00FE3117" w:rsidRPr="00201A5E" w:rsidRDefault="00FE3117" w:rsidP="00FE3117">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To what extent have discrimination or exclusionary practices been present in CSOs’ activities?</w:t>
      </w:r>
    </w:p>
    <w:p w14:paraId="6677D4A4" w14:textId="3140B46C" w:rsidR="00FE3117" w:rsidRPr="00201A5E" w:rsidRDefault="00FE3117" w:rsidP="00FE3117">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What international practices could be applied in the Estonian context—both at the organizational and national level?</w:t>
      </w:r>
    </w:p>
    <w:p w14:paraId="1E257D09" w14:textId="77777777" w:rsidR="00FE3117" w:rsidRPr="00201A5E" w:rsidRDefault="00FE3117" w:rsidP="00201A5E">
      <w:pPr>
        <w:pStyle w:val="ListParagraph"/>
        <w:numPr>
          <w:ilvl w:val="0"/>
          <w:numId w:val="3"/>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What motivates organizations to involve these groups, and what are the main barriers to doing so?</w:t>
      </w:r>
    </w:p>
    <w:p w14:paraId="1F3A7380"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206DB5F1"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The report addresses these questions through six analytical categories. Each category is explored in detail in separate chapters (Chapters 2–7):</w:t>
      </w:r>
    </w:p>
    <w:p w14:paraId="2BE99A1F"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3BCA5A40"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CSOs’ past experience of involving target groups;</w:t>
      </w:r>
    </w:p>
    <w:p w14:paraId="5CF50B8F"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3FC963A3" w14:textId="77777777" w:rsidR="00FE3117" w:rsidRPr="00201A5E" w:rsidRDefault="00FE3117" w:rsidP="00201A5E">
      <w:pPr>
        <w:pStyle w:val="ListParagraph"/>
        <w:numPr>
          <w:ilvl w:val="0"/>
          <w:numId w:val="4"/>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Competencies for inclusion (existing and those in need of development);</w:t>
      </w:r>
    </w:p>
    <w:p w14:paraId="1EBB8362" w14:textId="77777777" w:rsidR="00FE3117" w:rsidRPr="00201A5E" w:rsidRDefault="00FE3117" w:rsidP="00201A5E">
      <w:pPr>
        <w:pStyle w:val="ListParagraph"/>
        <w:numPr>
          <w:ilvl w:val="0"/>
          <w:numId w:val="4"/>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Inclusion practices;</w:t>
      </w:r>
    </w:p>
    <w:p w14:paraId="554644AD" w14:textId="77777777" w:rsidR="00FE3117" w:rsidRPr="00201A5E" w:rsidRDefault="00FE3117" w:rsidP="00201A5E">
      <w:pPr>
        <w:pStyle w:val="ListParagraph"/>
        <w:numPr>
          <w:ilvl w:val="0"/>
          <w:numId w:val="4"/>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Manifestations of discrimination or exclusion;</w:t>
      </w:r>
    </w:p>
    <w:p w14:paraId="49260D70" w14:textId="77777777" w:rsidR="00FE3117" w:rsidRPr="00201A5E" w:rsidRDefault="00FE3117" w:rsidP="00201A5E">
      <w:pPr>
        <w:pStyle w:val="ListParagraph"/>
        <w:numPr>
          <w:ilvl w:val="0"/>
          <w:numId w:val="4"/>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International good practices;</w:t>
      </w:r>
    </w:p>
    <w:p w14:paraId="154A51A1" w14:textId="77777777" w:rsidR="00FE3117" w:rsidRPr="00201A5E" w:rsidRDefault="00FE3117" w:rsidP="00201A5E">
      <w:pPr>
        <w:pStyle w:val="ListParagraph"/>
        <w:numPr>
          <w:ilvl w:val="0"/>
          <w:numId w:val="4"/>
        </w:numPr>
        <w:spacing w:after="0" w:line="240" w:lineRule="auto"/>
        <w:rPr>
          <w:rFonts w:ascii="Times New Roman" w:eastAsia="Times New Roman" w:hAnsi="Times New Roman" w:cs="Times New Roman"/>
          <w:kern w:val="0"/>
          <w:lang w:eastAsia="et-EE"/>
          <w14:ligatures w14:val="none"/>
        </w:rPr>
      </w:pPr>
      <w:r w:rsidRPr="00201A5E">
        <w:rPr>
          <w:rFonts w:ascii="Times New Roman" w:eastAsia="Times New Roman" w:hAnsi="Times New Roman" w:cs="Times New Roman"/>
          <w:kern w:val="0"/>
          <w:lang w:eastAsia="et-EE"/>
          <w14:ligatures w14:val="none"/>
        </w:rPr>
        <w:t>Motivation and barriers to inclusion.</w:t>
      </w:r>
    </w:p>
    <w:p w14:paraId="5F2A5857"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768BED0D"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While each category has its own defined focus, many themes are interconnected—for example, barriers to inclusion may stem from a lack of competencies, organizational limitations, or structural support conditions.</w:t>
      </w:r>
    </w:p>
    <w:p w14:paraId="7111F7B1"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p>
    <w:p w14:paraId="595837C3" w14:textId="77777777" w:rsidR="00FE3117" w:rsidRPr="00FE3117" w:rsidRDefault="00FE3117" w:rsidP="00FE3117">
      <w:pPr>
        <w:spacing w:after="0" w:line="240" w:lineRule="auto"/>
        <w:rPr>
          <w:rFonts w:ascii="Times New Roman" w:eastAsia="Times New Roman" w:hAnsi="Times New Roman" w:cs="Times New Roman"/>
          <w:kern w:val="0"/>
          <w:lang w:eastAsia="et-EE"/>
          <w14:ligatures w14:val="none"/>
        </w:rPr>
      </w:pPr>
      <w:r w:rsidRPr="00FE3117">
        <w:rPr>
          <w:rFonts w:ascii="Times New Roman" w:eastAsia="Times New Roman" w:hAnsi="Times New Roman" w:cs="Times New Roman"/>
          <w:kern w:val="0"/>
          <w:lang w:eastAsia="et-EE"/>
          <w14:ligatures w14:val="none"/>
        </w:rPr>
        <w:t>The mapping analysis was commissioned by the National Foundation of Civil Society (NFCS) to gain an overview of the involvement of newcomers, people with different linguistic and cultural backgrounds, and returnees in CSO activities. The results of the analysis will inform more systematic activities during the period 2026–2029, enabling CSOs to develop their competencies in this field.</w:t>
      </w:r>
    </w:p>
    <w:p w14:paraId="11DD694F" w14:textId="77777777" w:rsidR="00201A5E" w:rsidRDefault="00201A5E" w:rsidP="00FE3117">
      <w:pPr>
        <w:spacing w:after="0" w:line="240" w:lineRule="auto"/>
        <w:rPr>
          <w:rFonts w:ascii="Times New Roman" w:eastAsia="Times New Roman" w:hAnsi="Times New Roman" w:cs="Times New Roman"/>
          <w:kern w:val="0"/>
          <w:lang w:eastAsia="et-EE"/>
          <w14:ligatures w14:val="none"/>
        </w:rPr>
      </w:pPr>
    </w:p>
    <w:p w14:paraId="52CDD07C" w14:textId="0009605B" w:rsidR="00FE3117" w:rsidRPr="004A2565" w:rsidRDefault="00201A5E" w:rsidP="004A2565">
      <w:pPr>
        <w:spacing w:after="0"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pict w14:anchorId="68BEEFFB">
          <v:rect id="_x0000_i1028" style="width:0;height:1.5pt" o:hralign="center" o:hrstd="t" o:hr="t" fillcolor="#a0a0a0" stroked="f"/>
        </w:pict>
      </w:r>
    </w:p>
    <w:p w14:paraId="3168EF1D" w14:textId="77777777" w:rsidR="004A2565" w:rsidRPr="00201A5E" w:rsidRDefault="004A2565" w:rsidP="00201A5E">
      <w:pPr>
        <w:pStyle w:val="Heading2"/>
        <w:rPr>
          <w:rFonts w:eastAsia="Times New Roman"/>
          <w:b/>
          <w:bCs/>
          <w:lang w:eastAsia="et-EE"/>
        </w:rPr>
      </w:pPr>
      <w:r w:rsidRPr="00201A5E">
        <w:rPr>
          <w:rFonts w:eastAsia="Times New Roman"/>
          <w:b/>
          <w:bCs/>
          <w:lang w:eastAsia="et-EE"/>
        </w:rPr>
        <w:lastRenderedPageBreak/>
        <w:t>Summary: Conclusions a</w:t>
      </w:r>
      <w:r w:rsidRPr="00201A5E">
        <w:rPr>
          <w:rStyle w:val="Heading2Char"/>
          <w:b/>
          <w:bCs/>
          <w:lang w:eastAsia="et-EE"/>
        </w:rPr>
        <w:t>nd Recommendations</w:t>
      </w:r>
    </w:p>
    <w:p w14:paraId="21A9EA8D" w14:textId="77777777" w:rsidR="004A2565" w:rsidRPr="004A2565" w:rsidRDefault="004A2565" w:rsidP="004A2565">
      <w:p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kern w:val="0"/>
          <w:lang w:eastAsia="et-EE"/>
          <w14:ligatures w14:val="none"/>
        </w:rPr>
        <w:t>In this report, we mapped the experiences and competencies of Estonian civil society organizations in engaging newcomers, people with diverse linguistic and cultural backgrounds, and returnees. In the final chapter, we summarize the main conclusions of the mapping analysis regarding the current situation and present recommendations for supporting civil society organizations, drawing on academic literature, good practices from other countries, and the perspectives of NGO representatives.</w:t>
      </w:r>
    </w:p>
    <w:p w14:paraId="0E97F3D9" w14:textId="789F98F8" w:rsidR="004A2565" w:rsidRPr="004A2565" w:rsidRDefault="004A2565" w:rsidP="004A2565">
      <w:pPr>
        <w:spacing w:before="100" w:beforeAutospacing="1" w:after="100" w:afterAutospacing="1" w:line="240" w:lineRule="auto"/>
        <w:outlineLvl w:val="2"/>
        <w:rPr>
          <w:rFonts w:ascii="Times New Roman" w:eastAsia="Times New Roman" w:hAnsi="Times New Roman" w:cs="Times New Roman"/>
          <w:b/>
          <w:bCs/>
          <w:kern w:val="0"/>
          <w:sz w:val="27"/>
          <w:szCs w:val="27"/>
          <w:lang w:eastAsia="et-EE"/>
          <w14:ligatures w14:val="none"/>
        </w:rPr>
      </w:pPr>
      <w:r w:rsidRPr="004A2565">
        <w:rPr>
          <w:rFonts w:ascii="Times New Roman" w:eastAsia="Times New Roman" w:hAnsi="Times New Roman" w:cs="Times New Roman"/>
          <w:b/>
          <w:bCs/>
          <w:kern w:val="0"/>
          <w:sz w:val="27"/>
          <w:szCs w:val="27"/>
          <w:lang w:eastAsia="et-EE"/>
          <w14:ligatures w14:val="none"/>
        </w:rPr>
        <w:t>Conclusions</w:t>
      </w:r>
    </w:p>
    <w:p w14:paraId="76729063"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High openness, but engagement is ad hoc rather than strategic</w:t>
      </w:r>
      <w:r w:rsidRPr="004A2565">
        <w:rPr>
          <w:rFonts w:ascii="Times New Roman" w:eastAsia="Times New Roman" w:hAnsi="Times New Roman" w:cs="Times New Roman"/>
          <w:kern w:val="0"/>
          <w:lang w:eastAsia="et-EE"/>
          <w14:ligatures w14:val="none"/>
        </w:rPr>
        <w:br/>
        <w:t>Civil society organizations see themselves as open, but lack deliberate and consistent strategies for engaging people from diverse backgrounds. Engagement often happens through personal contacts and coincidences, rather than systematic approaches. Most roles are voluntary rather than paid, and the engagement process is rarely consciously managed.</w:t>
      </w:r>
    </w:p>
    <w:p w14:paraId="241A2DE3"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Good practices exist but are not widespread</w:t>
      </w:r>
      <w:r w:rsidRPr="004A2565">
        <w:rPr>
          <w:rFonts w:ascii="Times New Roman" w:eastAsia="Times New Roman" w:hAnsi="Times New Roman" w:cs="Times New Roman"/>
          <w:kern w:val="0"/>
          <w:lang w:eastAsia="et-EE"/>
          <w14:ligatures w14:val="none"/>
        </w:rPr>
        <w:br/>
        <w:t>Some organizations use methods such as face-to-face recruitment, language mentoring, and visual aids, but these practices are not widely established. Many organizations have not yet taken concrete steps to strengthen engagement with target groups.</w:t>
      </w:r>
    </w:p>
    <w:p w14:paraId="1B5F2420"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Networks and collaboration are functioning, motivation is high</w:t>
      </w:r>
      <w:r w:rsidRPr="004A2565">
        <w:rPr>
          <w:rFonts w:ascii="Times New Roman" w:eastAsia="Times New Roman" w:hAnsi="Times New Roman" w:cs="Times New Roman"/>
          <w:kern w:val="0"/>
          <w:lang w:eastAsia="et-EE"/>
          <w14:ligatures w14:val="none"/>
        </w:rPr>
        <w:br/>
        <w:t>NGOs maintain active networks and collaborations, and there is a clear willingness to exchange experiences and good practices. Several organizations (including some participants in this study) have years of experience in engaging target groups and are willing to share their knowledge.</w:t>
      </w:r>
    </w:p>
    <w:p w14:paraId="2BF99E1E"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Language skills and personal initiative shape the scope of involvement</w:t>
      </w:r>
      <w:r w:rsidRPr="004A2565">
        <w:rPr>
          <w:rFonts w:ascii="Times New Roman" w:eastAsia="Times New Roman" w:hAnsi="Times New Roman" w:cs="Times New Roman"/>
          <w:kern w:val="0"/>
          <w:lang w:eastAsia="et-EE"/>
          <w14:ligatures w14:val="none"/>
        </w:rPr>
        <w:br/>
        <w:t>NGOs typically engage target groups in simpler support activities that do not require advanced Estonian language skills. Organizations have also developed ways to overcome language barriers, such as pictogram-based communication, local volunteer “language buddies,” support for attending language courses through flexible arrangements, etc.</w:t>
      </w:r>
    </w:p>
    <w:p w14:paraId="2233AB1C"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Target groups reach NGOs mainly through referrals from institutions</w:t>
      </w:r>
      <w:r w:rsidRPr="004A2565">
        <w:rPr>
          <w:rFonts w:ascii="Times New Roman" w:eastAsia="Times New Roman" w:hAnsi="Times New Roman" w:cs="Times New Roman"/>
          <w:kern w:val="0"/>
          <w:lang w:eastAsia="et-EE"/>
          <w14:ligatures w14:val="none"/>
        </w:rPr>
        <w:br/>
        <w:t>Many NGOs build cooperation with state authorities, municipalities, universities, schools, vocational institutions, and other NGOs. This indicates that the foundation for broader cooperation already exists.</w:t>
      </w:r>
    </w:p>
    <w:p w14:paraId="33380C37"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Motivations are diverse, but barriers remain</w:t>
      </w:r>
      <w:r w:rsidRPr="004A2565">
        <w:rPr>
          <w:rFonts w:ascii="Times New Roman" w:eastAsia="Times New Roman" w:hAnsi="Times New Roman" w:cs="Times New Roman"/>
          <w:kern w:val="0"/>
          <w:lang w:eastAsia="et-EE"/>
          <w14:ligatures w14:val="none"/>
        </w:rPr>
        <w:br/>
        <w:t>Engagement is driven both by values and by funding mechanisms. At the same time, several constraints shape practice: qualification barriers, caregiving responsibilities, rural settlement patterns, and language requirements.</w:t>
      </w:r>
    </w:p>
    <w:p w14:paraId="083978EB" w14:textId="77777777" w:rsidR="004A2565" w:rsidRPr="004A2565" w:rsidRDefault="004A2565" w:rsidP="004A2565">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Engagement of foreigners and Estonians is not so different</w:t>
      </w:r>
      <w:r w:rsidRPr="004A2565">
        <w:rPr>
          <w:rFonts w:ascii="Times New Roman" w:eastAsia="Times New Roman" w:hAnsi="Times New Roman" w:cs="Times New Roman"/>
          <w:kern w:val="0"/>
          <w:lang w:eastAsia="et-EE"/>
          <w14:ligatures w14:val="none"/>
        </w:rPr>
        <w:br/>
        <w:t>The main distinctions for foreigners are language barriers and (for refugees) the adaptation curve, which NGOs need greater awareness and capacity to support.</w:t>
      </w:r>
    </w:p>
    <w:p w14:paraId="1FE0882B" w14:textId="1DBC5F87" w:rsidR="004A2565" w:rsidRPr="004A2565" w:rsidRDefault="004A2565" w:rsidP="004A2565">
      <w:pPr>
        <w:spacing w:before="100" w:beforeAutospacing="1" w:after="100" w:afterAutospacing="1" w:line="240" w:lineRule="auto"/>
        <w:outlineLvl w:val="2"/>
        <w:rPr>
          <w:rFonts w:ascii="Times New Roman" w:eastAsia="Times New Roman" w:hAnsi="Times New Roman" w:cs="Times New Roman"/>
          <w:b/>
          <w:bCs/>
          <w:kern w:val="0"/>
          <w:sz w:val="27"/>
          <w:szCs w:val="27"/>
          <w:lang w:eastAsia="et-EE"/>
          <w14:ligatures w14:val="none"/>
        </w:rPr>
      </w:pPr>
      <w:r w:rsidRPr="004A2565">
        <w:rPr>
          <w:rFonts w:ascii="Times New Roman" w:eastAsia="Times New Roman" w:hAnsi="Times New Roman" w:cs="Times New Roman"/>
          <w:b/>
          <w:bCs/>
          <w:kern w:val="0"/>
          <w:sz w:val="27"/>
          <w:szCs w:val="27"/>
          <w:lang w:eastAsia="et-EE"/>
          <w14:ligatures w14:val="none"/>
        </w:rPr>
        <w:t>Recommendations</w:t>
      </w:r>
    </w:p>
    <w:p w14:paraId="03D4A753" w14:textId="77777777" w:rsidR="004A2565" w:rsidRPr="004A2565" w:rsidRDefault="004A2565" w:rsidP="004A2565">
      <w:pPr>
        <w:numPr>
          <w:ilvl w:val="0"/>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Support collaboration and peer learning among NGOs</w:t>
      </w:r>
    </w:p>
    <w:p w14:paraId="1023DC7E"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lastRenderedPageBreak/>
        <w:t>Mentorship and knowledge exchange:</w:t>
      </w:r>
      <w:r w:rsidRPr="004A2565">
        <w:rPr>
          <w:rFonts w:ascii="Times New Roman" w:eastAsia="Times New Roman" w:hAnsi="Times New Roman" w:cs="Times New Roman"/>
          <w:kern w:val="0"/>
          <w:lang w:eastAsia="et-EE"/>
          <w14:ligatures w14:val="none"/>
        </w:rPr>
        <w:t xml:space="preserve"> Establish a mentoring system where experienced organizations support smaller or less experienced ones, with a focus on practice-based learning.</w:t>
      </w:r>
    </w:p>
    <w:p w14:paraId="4ACE903C"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Create opportunities for exchange:</w:t>
      </w:r>
      <w:r w:rsidRPr="004A2565">
        <w:rPr>
          <w:rFonts w:ascii="Times New Roman" w:eastAsia="Times New Roman" w:hAnsi="Times New Roman" w:cs="Times New Roman"/>
          <w:kern w:val="0"/>
          <w:lang w:eastAsia="et-EE"/>
          <w14:ligatures w14:val="none"/>
        </w:rPr>
        <w:t xml:space="preserve"> Encourage workshops, informal discussions, e-learning, videos, podcasts, opinion pieces, and case stories.</w:t>
      </w:r>
    </w:p>
    <w:p w14:paraId="71802C0E"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Develop and share modern tools:</w:t>
      </w:r>
      <w:r w:rsidRPr="004A2565">
        <w:rPr>
          <w:rFonts w:ascii="Times New Roman" w:eastAsia="Times New Roman" w:hAnsi="Times New Roman" w:cs="Times New Roman"/>
          <w:kern w:val="0"/>
          <w:lang w:eastAsia="et-EE"/>
          <w14:ligatures w14:val="none"/>
        </w:rPr>
        <w:t xml:space="preserve"> Promote the use of multilingual and visual tools (pictograms, translation services, simplified guides).</w:t>
      </w:r>
    </w:p>
    <w:p w14:paraId="5D270241"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National knowledge hub:</w:t>
      </w:r>
      <w:r w:rsidRPr="004A2565">
        <w:rPr>
          <w:rFonts w:ascii="Times New Roman" w:eastAsia="Times New Roman" w:hAnsi="Times New Roman" w:cs="Times New Roman"/>
          <w:kern w:val="0"/>
          <w:lang w:eastAsia="et-EE"/>
          <w14:ligatures w14:val="none"/>
        </w:rPr>
        <w:t xml:space="preserve"> Collect and centralize information and materials supporting engagement on an online platform, developed in cooperation with NFCS, Integration Foundation, and volunteer support centers.</w:t>
      </w:r>
    </w:p>
    <w:p w14:paraId="3C8E6A7B" w14:textId="77777777" w:rsidR="004A2565" w:rsidRPr="004A2565" w:rsidRDefault="004A2565" w:rsidP="004A2565">
      <w:pPr>
        <w:numPr>
          <w:ilvl w:val="0"/>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Strengthen NGOs’ capacity and motivation through funding schemes</w:t>
      </w:r>
    </w:p>
    <w:p w14:paraId="3E97B59E"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Flexible and sustainable funding:</w:t>
      </w:r>
      <w:r w:rsidRPr="004A2565">
        <w:rPr>
          <w:rFonts w:ascii="Times New Roman" w:eastAsia="Times New Roman" w:hAnsi="Times New Roman" w:cs="Times New Roman"/>
          <w:kern w:val="0"/>
          <w:lang w:eastAsia="et-EE"/>
          <w14:ligatures w14:val="none"/>
        </w:rPr>
        <w:t xml:space="preserve"> Enable long-term funding, including core funding or support for key roles (e.g., project managers, volunteer coordinators).</w:t>
      </w:r>
    </w:p>
    <w:p w14:paraId="5D1F4C6F"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Accessible calls for proposals:</w:t>
      </w:r>
      <w:r w:rsidRPr="004A2565">
        <w:rPr>
          <w:rFonts w:ascii="Times New Roman" w:eastAsia="Times New Roman" w:hAnsi="Times New Roman" w:cs="Times New Roman"/>
          <w:kern w:val="0"/>
          <w:lang w:eastAsia="et-EE"/>
          <w14:ligatures w14:val="none"/>
        </w:rPr>
        <w:t xml:space="preserve"> Adapt schemes so smaller or less experienced NGOs can participate (simplified forms, advisory support).</w:t>
      </w:r>
    </w:p>
    <w:p w14:paraId="14C41698"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Consider regional specifics:</w:t>
      </w:r>
      <w:r w:rsidRPr="004A2565">
        <w:rPr>
          <w:rFonts w:ascii="Times New Roman" w:eastAsia="Times New Roman" w:hAnsi="Times New Roman" w:cs="Times New Roman"/>
          <w:kern w:val="0"/>
          <w:lang w:eastAsia="et-EE"/>
          <w14:ligatures w14:val="none"/>
        </w:rPr>
        <w:t xml:space="preserve"> In rural areas, planning and funding should account for smaller target groups and logistical challenges (e.g., transport and catering costs should be eligible).</w:t>
      </w:r>
    </w:p>
    <w:p w14:paraId="41A377A5" w14:textId="77777777" w:rsidR="004A2565" w:rsidRPr="004A2565" w:rsidRDefault="004A2565" w:rsidP="004A2565">
      <w:pPr>
        <w:numPr>
          <w:ilvl w:val="0"/>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Develop NGO competencies in engagement and recruitment</w:t>
      </w:r>
    </w:p>
    <w:p w14:paraId="3731D826"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Promote positive attitudes:</w:t>
      </w:r>
      <w:r w:rsidRPr="004A2565">
        <w:rPr>
          <w:rFonts w:ascii="Times New Roman" w:eastAsia="Times New Roman" w:hAnsi="Times New Roman" w:cs="Times New Roman"/>
          <w:kern w:val="0"/>
          <w:lang w:eastAsia="et-EE"/>
          <w14:ligatures w14:val="none"/>
        </w:rPr>
        <w:t xml:space="preserve"> NGOs can serve as role models by sharing stories of how engagement has enriched their activities and communities.</w:t>
      </w:r>
    </w:p>
    <w:p w14:paraId="0E3DF02A"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Address unconscious exclusion patterns:</w:t>
      </w:r>
      <w:r w:rsidRPr="004A2565">
        <w:rPr>
          <w:rFonts w:ascii="Times New Roman" w:eastAsia="Times New Roman" w:hAnsi="Times New Roman" w:cs="Times New Roman"/>
          <w:kern w:val="0"/>
          <w:lang w:eastAsia="et-EE"/>
          <w14:ligatures w14:val="none"/>
        </w:rPr>
        <w:t xml:space="preserve"> Provide training and forums to discuss barriers like “us vs. them” thinking or closed networks.</w:t>
      </w:r>
    </w:p>
    <w:p w14:paraId="7933443C"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Support systematic volunteer engagement:</w:t>
      </w:r>
      <w:r w:rsidRPr="004A2565">
        <w:rPr>
          <w:rFonts w:ascii="Times New Roman" w:eastAsia="Times New Roman" w:hAnsi="Times New Roman" w:cs="Times New Roman"/>
          <w:kern w:val="0"/>
          <w:lang w:eastAsia="et-EE"/>
          <w14:ligatures w14:val="none"/>
        </w:rPr>
        <w:t xml:space="preserve"> Develop tools and materials for planning and reflection (see e.g. Ireland’s Volunteer Centre materials).</w:t>
      </w:r>
    </w:p>
    <w:p w14:paraId="3ECDAEDA"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Offer co-vision and supervision:</w:t>
      </w:r>
      <w:r w:rsidRPr="004A2565">
        <w:rPr>
          <w:rFonts w:ascii="Times New Roman" w:eastAsia="Times New Roman" w:hAnsi="Times New Roman" w:cs="Times New Roman"/>
          <w:kern w:val="0"/>
          <w:lang w:eastAsia="et-EE"/>
          <w14:ligatures w14:val="none"/>
        </w:rPr>
        <w:t xml:space="preserve"> Provide regular peer and supervisory support to prevent burnout and maintain motivation.</w:t>
      </w:r>
    </w:p>
    <w:p w14:paraId="73B9C12D" w14:textId="77777777" w:rsidR="004A2565" w:rsidRPr="004A2565" w:rsidRDefault="004A2565" w:rsidP="004A2565">
      <w:pPr>
        <w:numPr>
          <w:ilvl w:val="0"/>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b/>
          <w:bCs/>
          <w:kern w:val="0"/>
          <w:lang w:eastAsia="et-EE"/>
          <w14:ligatures w14:val="none"/>
        </w:rPr>
        <w:t>Enhance cooperation between NGOs and other institutions in recruitment and support</w:t>
      </w:r>
    </w:p>
    <w:p w14:paraId="3834CF56" w14:textId="77777777" w:rsidR="004A2565" w:rsidRP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Promote information exchange and awareness:</w:t>
      </w:r>
      <w:r w:rsidRPr="004A2565">
        <w:rPr>
          <w:rFonts w:ascii="Times New Roman" w:eastAsia="Times New Roman" w:hAnsi="Times New Roman" w:cs="Times New Roman"/>
          <w:kern w:val="0"/>
          <w:lang w:eastAsia="et-EE"/>
          <w14:ligatures w14:val="none"/>
        </w:rPr>
        <w:t xml:space="preserve"> Encourage institutions supporting newcomers (e.g., Settle in Estonia, NGOs, municipalities) to introduce civil society opportunities and link newcomers with NGOs—while being mindful not to pressure them.</w:t>
      </w:r>
    </w:p>
    <w:p w14:paraId="5D02F6F9" w14:textId="77777777" w:rsidR="004A2565" w:rsidRDefault="004A2565" w:rsidP="004A2565">
      <w:pPr>
        <w:numPr>
          <w:ilvl w:val="1"/>
          <w:numId w:val="2"/>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4A2565">
        <w:rPr>
          <w:rFonts w:ascii="Times New Roman" w:eastAsia="Times New Roman" w:hAnsi="Times New Roman" w:cs="Times New Roman"/>
          <w:i/>
          <w:iCs/>
          <w:kern w:val="0"/>
          <w:lang w:eastAsia="et-EE"/>
          <w14:ligatures w14:val="none"/>
        </w:rPr>
        <w:t>Support language learning through cross-sector cooperation:</w:t>
      </w:r>
      <w:r w:rsidRPr="004A2565">
        <w:rPr>
          <w:rFonts w:ascii="Times New Roman" w:eastAsia="Times New Roman" w:hAnsi="Times New Roman" w:cs="Times New Roman"/>
          <w:kern w:val="0"/>
          <w:lang w:eastAsia="et-EE"/>
          <w14:ligatures w14:val="none"/>
        </w:rPr>
        <w:t xml:space="preserve"> Share resources with employers and the Integration Foundation.</w:t>
      </w:r>
    </w:p>
    <w:p w14:paraId="12761777" w14:textId="1695F1FD" w:rsidR="005636BB" w:rsidRPr="004A2565" w:rsidRDefault="005636BB" w:rsidP="005636BB">
      <w:pPr>
        <w:spacing w:before="100" w:beforeAutospacing="1" w:after="100" w:afterAutospacing="1"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S</w:t>
      </w:r>
      <w:r w:rsidRPr="005636BB">
        <w:rPr>
          <w:rFonts w:ascii="Times New Roman" w:eastAsia="Times New Roman" w:hAnsi="Times New Roman" w:cs="Times New Roman"/>
          <w:kern w:val="0"/>
          <w:lang w:eastAsia="et-EE"/>
          <w14:ligatures w14:val="none"/>
        </w:rPr>
        <w:t>hort, web-friendly English summary</w:t>
      </w:r>
    </w:p>
    <w:p w14:paraId="4748557D" w14:textId="77777777" w:rsidR="004A2565" w:rsidRDefault="004A2565"/>
    <w:sectPr w:rsidR="004A2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4A70"/>
    <w:multiLevelType w:val="multilevel"/>
    <w:tmpl w:val="BAD2A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032C3"/>
    <w:multiLevelType w:val="hybridMultilevel"/>
    <w:tmpl w:val="1E342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DBD71D1"/>
    <w:multiLevelType w:val="hybridMultilevel"/>
    <w:tmpl w:val="450EB6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5615A94"/>
    <w:multiLevelType w:val="multilevel"/>
    <w:tmpl w:val="3E9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947901">
    <w:abstractNumId w:val="3"/>
  </w:num>
  <w:num w:numId="2" w16cid:durableId="2096050718">
    <w:abstractNumId w:val="0"/>
  </w:num>
  <w:num w:numId="3" w16cid:durableId="1250427465">
    <w:abstractNumId w:val="1"/>
  </w:num>
  <w:num w:numId="4" w16cid:durableId="210857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65"/>
    <w:rsid w:val="00201A5E"/>
    <w:rsid w:val="0045144B"/>
    <w:rsid w:val="004A2565"/>
    <w:rsid w:val="005636BB"/>
    <w:rsid w:val="00FE31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2F7B"/>
  <w15:chartTrackingRefBased/>
  <w15:docId w15:val="{500934CE-E248-47B8-B022-6DC0421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2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2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65"/>
    <w:rPr>
      <w:rFonts w:eastAsiaTheme="majorEastAsia" w:cstheme="majorBidi"/>
      <w:color w:val="272727" w:themeColor="text1" w:themeTint="D8"/>
    </w:rPr>
  </w:style>
  <w:style w:type="paragraph" w:styleId="Title">
    <w:name w:val="Title"/>
    <w:basedOn w:val="Normal"/>
    <w:next w:val="Normal"/>
    <w:link w:val="TitleChar"/>
    <w:uiPriority w:val="10"/>
    <w:qFormat/>
    <w:rsid w:val="004A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65"/>
    <w:pPr>
      <w:spacing w:before="160"/>
      <w:jc w:val="center"/>
    </w:pPr>
    <w:rPr>
      <w:i/>
      <w:iCs/>
      <w:color w:val="404040" w:themeColor="text1" w:themeTint="BF"/>
    </w:rPr>
  </w:style>
  <w:style w:type="character" w:customStyle="1" w:styleId="QuoteChar">
    <w:name w:val="Quote Char"/>
    <w:basedOn w:val="DefaultParagraphFont"/>
    <w:link w:val="Quote"/>
    <w:uiPriority w:val="29"/>
    <w:rsid w:val="004A2565"/>
    <w:rPr>
      <w:i/>
      <w:iCs/>
      <w:color w:val="404040" w:themeColor="text1" w:themeTint="BF"/>
    </w:rPr>
  </w:style>
  <w:style w:type="paragraph" w:styleId="ListParagraph">
    <w:name w:val="List Paragraph"/>
    <w:basedOn w:val="Normal"/>
    <w:uiPriority w:val="34"/>
    <w:qFormat/>
    <w:rsid w:val="004A2565"/>
    <w:pPr>
      <w:ind w:left="720"/>
      <w:contextualSpacing/>
    </w:pPr>
  </w:style>
  <w:style w:type="character" w:styleId="IntenseEmphasis">
    <w:name w:val="Intense Emphasis"/>
    <w:basedOn w:val="DefaultParagraphFont"/>
    <w:uiPriority w:val="21"/>
    <w:qFormat/>
    <w:rsid w:val="004A2565"/>
    <w:rPr>
      <w:i/>
      <w:iCs/>
      <w:color w:val="0F4761" w:themeColor="accent1" w:themeShade="BF"/>
    </w:rPr>
  </w:style>
  <w:style w:type="paragraph" w:styleId="IntenseQuote">
    <w:name w:val="Intense Quote"/>
    <w:basedOn w:val="Normal"/>
    <w:next w:val="Normal"/>
    <w:link w:val="IntenseQuoteChar"/>
    <w:uiPriority w:val="30"/>
    <w:qFormat/>
    <w:rsid w:val="004A2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565"/>
    <w:rPr>
      <w:i/>
      <w:iCs/>
      <w:color w:val="0F4761" w:themeColor="accent1" w:themeShade="BF"/>
    </w:rPr>
  </w:style>
  <w:style w:type="character" w:styleId="IntenseReference">
    <w:name w:val="Intense Reference"/>
    <w:basedOn w:val="DefaultParagraphFont"/>
    <w:uiPriority w:val="32"/>
    <w:qFormat/>
    <w:rsid w:val="004A2565"/>
    <w:rPr>
      <w:b/>
      <w:bCs/>
      <w:smallCaps/>
      <w:color w:val="0F4761" w:themeColor="accent1" w:themeShade="BF"/>
      <w:spacing w:val="5"/>
    </w:rPr>
  </w:style>
  <w:style w:type="character" w:styleId="Hyperlink">
    <w:name w:val="Hyperlink"/>
    <w:basedOn w:val="DefaultParagraphFont"/>
    <w:uiPriority w:val="99"/>
    <w:unhideWhenUsed/>
    <w:rsid w:val="004A2565"/>
    <w:rPr>
      <w:color w:val="467886" w:themeColor="hyperlink"/>
      <w:u w:val="single"/>
    </w:rPr>
  </w:style>
  <w:style w:type="character" w:styleId="UnresolvedMention">
    <w:name w:val="Unresolved Mention"/>
    <w:basedOn w:val="DefaultParagraphFont"/>
    <w:uiPriority w:val="99"/>
    <w:semiHidden/>
    <w:unhideWhenUsed/>
    <w:rsid w:val="004A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xis.e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Tamm</dc:creator>
  <cp:keywords/>
  <dc:description/>
  <cp:lastModifiedBy>Katre Tamm</cp:lastModifiedBy>
  <cp:revision>2</cp:revision>
  <dcterms:created xsi:type="dcterms:W3CDTF">2025-09-11T10:59:00Z</dcterms:created>
  <dcterms:modified xsi:type="dcterms:W3CDTF">2025-09-11T10:59:00Z</dcterms:modified>
</cp:coreProperties>
</file>