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9EAC5" w14:textId="77777777" w:rsidR="0001145D" w:rsidRDefault="00000000">
      <w:pPr>
        <w:pStyle w:val="Heading1"/>
      </w:pPr>
      <w:r>
        <w:t>Опыт и потенциал НКО по вовлечению различных групп</w:t>
      </w:r>
    </w:p>
    <w:p w14:paraId="6BB0465B" w14:textId="77777777" w:rsidR="0001145D" w:rsidRDefault="00000000">
      <w:r>
        <w:t>Опыт и потенциал НКО по вовлечению новых прибывших, людей с различным языковым и культурным фоном, а также возвращенцев</w:t>
      </w:r>
      <w:r>
        <w:br/>
      </w:r>
      <w:r>
        <w:br/>
        <w:t>Аналитический обзор</w:t>
      </w:r>
      <w:r>
        <w:br/>
        <w:t>PRAXIS | Мозговой центр</w:t>
      </w:r>
      <w:r>
        <w:br/>
      </w:r>
      <w:r>
        <w:br/>
        <w:t>Авторы: Мириам Лехари, Тали Клеттер, Изабель Езерска, Маарья Тинн</w:t>
      </w:r>
      <w:r>
        <w:br/>
      </w:r>
      <w:r>
        <w:br/>
        <w:t>Данный обзор был заказан Национальным фондом гражданского общества (KÜSK).</w:t>
      </w:r>
      <w:r>
        <w:br/>
      </w:r>
      <w:r>
        <w:br/>
        <w:t>Благодарности: благодарим Анди Кисселя за поддержку в количественном анализе данных, Эвелиис Падар за проведение фокус-групп и Алари Раммо, внесшего экспертный вклад в разработку исследования.</w:t>
      </w:r>
      <w:r>
        <w:br/>
      </w:r>
      <w:r>
        <w:br/>
        <w:t>Издатель: Praxis – некоммерческий аналитический центр, миссия которого заключается в поддержке политики, основанной на фактах, и развитии партисипативной демократии.</w:t>
      </w:r>
      <w:r>
        <w:br/>
      </w:r>
      <w:r>
        <w:br/>
        <w:t>© Praxis Think Tank. При использовании информации из этого отчета указывайте источник.</w:t>
      </w:r>
      <w:r>
        <w:br/>
      </w:r>
      <w:r>
        <w:br/>
        <w:t>Рекомендуемая ссылка:</w:t>
      </w:r>
      <w:r>
        <w:br/>
        <w:t>Lehari, M., Kletter, T., Jezierska, I. &amp; Tinn, M. (2025). Опыт и потенциал НКО по вовлечению новых прибывших, людей с различным языковым и культурным фоном, а также возвращенцев. Praxis Think Tank.</w:t>
      </w:r>
      <w:r>
        <w:br/>
      </w:r>
      <w:r>
        <w:br/>
        <w:t>Этот анализ был поддержан Европейским социальным фондом и проектом Министерства культуры (ESF-KUM) «Поддержка деятельности сообществ, способствующей интеграции».</w:t>
      </w:r>
      <w:r>
        <w:br/>
      </w:r>
      <w:r>
        <w:br/>
        <w:t>Введение</w:t>
      </w:r>
      <w:r>
        <w:br/>
      </w:r>
      <w:r>
        <w:br/>
        <w:t>Изменяющаяся миграционная среда принесла в эстонское общество всё более разнообразное население, включая новых прибывших, людей с разным языковым и культурным фоном, а также возвращенцев. В то же время НКО играют важную роль в поддержке сплоченности сообществ и социальной вовлеченности, в том числе через волонтёрство. НКО часто выступают «строителями мостов», создавая пространство для участия, сотрудничества и чувства принадлежности. Поэтому крайне важно понимать готовность, опыт и потенциал этих организаций для вовлечения людей из разных слоёв общества.</w:t>
      </w:r>
      <w:r>
        <w:br/>
      </w:r>
      <w:r>
        <w:lastRenderedPageBreak/>
        <w:br/>
        <w:t>Целью данного аналитического обзора является предоставление содержательного и многогранного понимания того, как эстонские НКО вовлекают новых прибывших, людей с различным языковым и культурным фоном и возвращенцев в свою деятельность. Анализ сосредоточен на опыте организаций, их компетенциях в области инклюзии, барьерах и поддерживающих практиках. Исследование основано на трёх уровнях данных: анализе документов, онлайн-опросе и двух фокус-группах. Такой комбинированный подход позволяет объединить количественные закономерности и качественные инсайты, предоставляя целостную картину практик и потребностей.</w:t>
      </w:r>
      <w:r>
        <w:br/>
      </w:r>
      <w:r>
        <w:br/>
        <w:t>Анализ ставил следующие исследовательские вопросы:</w:t>
      </w:r>
      <w:r>
        <w:br/>
        <w:t>- Каков опыт НКО в вовлечении людей с разным культурным и языковым фоном?</w:t>
      </w:r>
      <w:r>
        <w:br/>
        <w:t>- Какие компетенции уже есть у организаций, и какие необходимо развивать?</w:t>
      </w:r>
      <w:r>
        <w:br/>
        <w:t>- Как и в каких ролях целевые группы вовлечены в деятельность НКО?</w:t>
      </w:r>
      <w:r>
        <w:br/>
        <w:t>- В какой степени проявлялись дискриминация или исключающие практики?</w:t>
      </w:r>
      <w:r>
        <w:br/>
        <w:t>- Какие международные практики могут быть применены в эстонском контексте?</w:t>
      </w:r>
      <w:r>
        <w:br/>
        <w:t>- Что мотивирует организации вовлекать эти группы и какие основные барьеры мешают?</w:t>
      </w:r>
      <w:r>
        <w:br/>
      </w:r>
      <w:r>
        <w:br/>
        <w:t>Эти вопросы рассмотрены в шести аналитических категориях (главы 2–7):</w:t>
      </w:r>
      <w:r>
        <w:br/>
        <w:t>- Опыт вовлечения целевых групп,</w:t>
      </w:r>
      <w:r>
        <w:br/>
        <w:t>- Компетенции для инклюзии (существующие и требующие развития),</w:t>
      </w:r>
      <w:r>
        <w:br/>
        <w:t>- Практики инклюзии,</w:t>
      </w:r>
      <w:r>
        <w:br/>
        <w:t>- Проявления дискриминации или исключения,</w:t>
      </w:r>
      <w:r>
        <w:br/>
        <w:t>- Международные хорошие практики,</w:t>
      </w:r>
      <w:r>
        <w:br/>
        <w:t>- Мотивация и барьеры вовлечения.</w:t>
      </w:r>
      <w:r>
        <w:br/>
      </w:r>
      <w:r>
        <w:br/>
        <w:t>Хотя у каждой категории есть своя фокусная область, многие темы взаимосвязаны — например, барьеры могут быть связаны с нехваткой компетенций, ограниченными ресурсами организации или структурными условиями поддержки.</w:t>
      </w:r>
      <w:r>
        <w:br/>
      </w:r>
      <w:r>
        <w:br/>
        <w:t>Результаты анализа будут использованы для планирования систематической работы на период 2026–2029 годов, позволяя НКО развивать свои компетенции в данной сфере.</w:t>
      </w:r>
      <w:r>
        <w:br/>
      </w:r>
      <w:r>
        <w:br/>
        <w:t>Заключения и рекомендации</w:t>
      </w:r>
      <w:r>
        <w:br/>
      </w:r>
      <w:r>
        <w:br/>
        <w:t>Выводы:</w:t>
      </w:r>
      <w:r>
        <w:br/>
        <w:t xml:space="preserve">- Высокая открытость, но вовлечение происходит несистемно. Организации считают себя открытыми, но у них отсутствует чёткая стратегия. Вовлечение чаще происходит через личные контакты, роли в основном добровольные.  </w:t>
      </w:r>
      <w:r>
        <w:br/>
        <w:t xml:space="preserve">- Существуют хорошие практики, но они не распространены. Используются </w:t>
      </w:r>
      <w:r>
        <w:lastRenderedPageBreak/>
        <w:t xml:space="preserve">наставничество по языку, визуальные материалы, личное привлечение.  </w:t>
      </w:r>
      <w:r>
        <w:br/>
        <w:t xml:space="preserve">- Сети и сотрудничество функционируют, мотивация высокая. Есть готовность обмениваться опытом.  </w:t>
      </w:r>
      <w:r>
        <w:br/>
        <w:t xml:space="preserve">- Языковые навыки и личная инициатива формируют масштабы вовлечения. Используются пиктограммы, «языковые друзья», гибкое посещение языковых курсов.  </w:t>
      </w:r>
      <w:r>
        <w:br/>
        <w:t xml:space="preserve">- Целевые группы попадают в НКО в основном через государственные и муниципальные учреждения, школы, университеты, другие НКО.  </w:t>
      </w:r>
      <w:r>
        <w:br/>
        <w:t xml:space="preserve">- Мотивации разнообразны, но барьеры сохраняются. Среди барьеров: квалификационные требования, уход за детьми, проживание в сельской местности, языковые ограничения.  </w:t>
      </w:r>
      <w:r>
        <w:br/>
        <w:t>- Вовлечение иностранцев и эстонцев не столь различается, кроме языкового барьера и адаптации у беженцев.</w:t>
      </w:r>
      <w:r>
        <w:br/>
      </w:r>
      <w:r>
        <w:br/>
        <w:t>Рекомендации:</w:t>
      </w:r>
      <w:r>
        <w:br/>
        <w:t xml:space="preserve">1. Поддерживать сотрудничество и взаимное обучение между НКО. Создавать наставничество, мастерские, онлайн-ресурсы, национальную базу знаний.  </w:t>
      </w:r>
      <w:r>
        <w:br/>
        <w:t xml:space="preserve">2. Усилить потенциал НКО через финансирование. Обеспечить долгосрочные механизмы, доступность конкурсов для малых НКО, учитывать региональные особенности.  </w:t>
      </w:r>
      <w:r>
        <w:br/>
        <w:t xml:space="preserve">3. Развивать компетенции НКО. Продвигать позитивное освещение, обсуждать бессознательные барьеры, развивать системное волонтёрство, предоставлять супервизию.  </w:t>
      </w:r>
      <w:r>
        <w:br/>
        <w:t>4. Расширять межсекторное сотрудничество. Поддерживать обмен информацией, помогать изучать язык совместно с работодателями и Фондом интеграции.</w:t>
      </w:r>
    </w:p>
    <w:sectPr w:rsidR="0001145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793491">
    <w:abstractNumId w:val="8"/>
  </w:num>
  <w:num w:numId="2" w16cid:durableId="1857112268">
    <w:abstractNumId w:val="6"/>
  </w:num>
  <w:num w:numId="3" w16cid:durableId="1877884545">
    <w:abstractNumId w:val="5"/>
  </w:num>
  <w:num w:numId="4" w16cid:durableId="1182554507">
    <w:abstractNumId w:val="4"/>
  </w:num>
  <w:num w:numId="5" w16cid:durableId="1443065125">
    <w:abstractNumId w:val="7"/>
  </w:num>
  <w:num w:numId="6" w16cid:durableId="258608385">
    <w:abstractNumId w:val="3"/>
  </w:num>
  <w:num w:numId="7" w16cid:durableId="418330215">
    <w:abstractNumId w:val="2"/>
  </w:num>
  <w:num w:numId="8" w16cid:durableId="692652218">
    <w:abstractNumId w:val="1"/>
  </w:num>
  <w:num w:numId="9" w16cid:durableId="1065184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145D"/>
    <w:rsid w:val="00034616"/>
    <w:rsid w:val="0006063C"/>
    <w:rsid w:val="0015074B"/>
    <w:rsid w:val="0029639D"/>
    <w:rsid w:val="00326F90"/>
    <w:rsid w:val="00684910"/>
    <w:rsid w:val="00AA1D8D"/>
    <w:rsid w:val="00B47730"/>
    <w:rsid w:val="00C408B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25F4D5"/>
  <w14:defaultImageDpi w14:val="300"/>
  <w15:docId w15:val="{342E37BF-62DF-4668-85C3-BB9DA6D6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766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Katre Tamm</cp:lastModifiedBy>
  <cp:revision>2</cp:revision>
  <dcterms:created xsi:type="dcterms:W3CDTF">2025-09-11T18:10:00Z</dcterms:created>
  <dcterms:modified xsi:type="dcterms:W3CDTF">2025-09-11T18:10:00Z</dcterms:modified>
  <cp:category/>
</cp:coreProperties>
</file>